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Times New Roman" w:hAnsi="Times New Roman" w:eastAsia="黑体"/>
          <w:sz w:val="36"/>
          <w:szCs w:val="36"/>
        </w:rPr>
      </w:pPr>
      <w:r>
        <w:rPr>
          <w:rFonts w:ascii="Times New Roman" w:hAnsi="Times New Roman" w:eastAsia="黑体"/>
          <w:bCs/>
          <w:sz w:val="36"/>
          <w:szCs w:val="36"/>
        </w:rPr>
        <w:t>《</w:t>
      </w:r>
      <w:r>
        <w:rPr>
          <w:rFonts w:hint="eastAsia" w:ascii="Times New Roman" w:hAnsi="Times New Roman" w:eastAsia="黑体"/>
          <w:bCs/>
          <w:sz w:val="36"/>
          <w:szCs w:val="36"/>
        </w:rPr>
        <w:t>工科基本训练（数控加工）</w:t>
      </w:r>
      <w:r>
        <w:rPr>
          <w:rFonts w:ascii="Times New Roman" w:hAnsi="Times New Roman" w:eastAsia="黑体"/>
          <w:bCs/>
          <w:sz w:val="36"/>
          <w:szCs w:val="36"/>
        </w:rPr>
        <w:t>》课程</w:t>
      </w:r>
      <w:r>
        <w:rPr>
          <w:rFonts w:ascii="Times New Roman" w:hAnsi="Times New Roman" w:eastAsia="黑体"/>
          <w:sz w:val="36"/>
          <w:szCs w:val="36"/>
        </w:rPr>
        <w:t>教学大纲</w:t>
      </w:r>
      <w:bookmarkStart w:id="0" w:name="_GoBack"/>
      <w:bookmarkEnd w:id="0"/>
    </w:p>
    <w:p>
      <w:pPr>
        <w:widowControl/>
        <w:snapToGrid w:val="0"/>
        <w:spacing w:line="360" w:lineRule="auto"/>
        <w:jc w:val="center"/>
        <w:rPr>
          <w:rFonts w:ascii="Times New Roman" w:hAnsi="Times New Roman" w:eastAsia="黑体"/>
          <w:color w:val="0070C0"/>
          <w:sz w:val="24"/>
          <w:szCs w:val="24"/>
        </w:rPr>
      </w:pPr>
    </w:p>
    <w:p>
      <w:pPr>
        <w:widowControl/>
        <w:snapToGrid w:val="0"/>
        <w:spacing w:line="360" w:lineRule="auto"/>
        <w:jc w:val="left"/>
        <w:rPr>
          <w:rFonts w:ascii="Times New Roman" w:hAnsi="Times New Roman" w:eastAsia="黑体"/>
          <w:sz w:val="36"/>
          <w:szCs w:val="36"/>
        </w:rPr>
      </w:pPr>
      <w:r>
        <w:rPr>
          <w:rFonts w:ascii="Times New Roman" w:hAnsi="Times New Roman" w:eastAsia="黑体"/>
          <w:sz w:val="24"/>
        </w:rPr>
        <w:t>一、课程基本信息</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25"/>
        <w:gridCol w:w="1134"/>
        <w:gridCol w:w="425"/>
        <w:gridCol w:w="554"/>
        <w:gridCol w:w="439"/>
        <w:gridCol w:w="283"/>
        <w:gridCol w:w="554"/>
        <w:gridCol w:w="13"/>
        <w:gridCol w:w="992"/>
        <w:gridCol w:w="56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课程名称</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Cs w:val="21"/>
              </w:rPr>
            </w:pPr>
            <w:r>
              <w:rPr>
                <w:rFonts w:hint="default" w:ascii="Times New Roman" w:hAnsi="Times New Roman" w:cs="Times New Roman"/>
                <w:szCs w:val="21"/>
              </w:rPr>
              <w:t>中文名称：</w:t>
            </w:r>
            <w:r>
              <w:rPr>
                <w:rFonts w:hint="default" w:ascii="Times New Roman" w:hAnsi="Times New Roman" w:cs="Times New Roman"/>
                <w:bCs/>
                <w:szCs w:val="21"/>
              </w:rPr>
              <w:t>工科基本训练（数控加工）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rPr>
            </w:pP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szCs w:val="21"/>
              </w:rPr>
              <w:t>英文名称：</w:t>
            </w:r>
            <w:r>
              <w:rPr>
                <w:rStyle w:val="11"/>
                <w:rFonts w:hint="default" w:ascii="Times New Roman" w:hAnsi="Times New Roman" w:cs="Times New Roman"/>
                <w:b w:val="0"/>
              </w:rPr>
              <w:t>Engineering Basic Training (NC machining)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课程代码</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ind w:firstLine="210" w:firstLineChars="1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593001X</w:t>
            </w:r>
            <w:r>
              <w:rPr>
                <w:rFonts w:hint="default" w:ascii="Times New Roman" w:hAnsi="Times New Roman" w:cs="Times New Roman" w:eastAsiaTheme="minorEastAsia"/>
                <w:lang w:val="en-US" w:eastAsia="zh-CN"/>
              </w:rPr>
              <w:t>2</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课程性质</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B050"/>
                <w:szCs w:val="21"/>
              </w:rPr>
            </w:pPr>
            <w:r>
              <w:rPr>
                <w:rFonts w:ascii="Wingdings 2" w:hAnsi="Wingdings 2" w:eastAsia="仿宋_GB2312" w:cs="仿宋_GB2312"/>
                <w:color w:val="000000"/>
                <w:szCs w:val="21"/>
              </w:rPr>
              <w:t></w:t>
            </w:r>
            <w:r>
              <w:rPr>
                <w:rFonts w:hint="eastAsia" w:ascii="宋体" w:hAnsi="宋体" w:cs="仿宋_GB2312"/>
                <w:color w:val="000000"/>
                <w:szCs w:val="21"/>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开课学院</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lang w:eastAsia="zh-CN"/>
              </w:rPr>
            </w:pPr>
            <w:r>
              <w:rPr>
                <w:rFonts w:hint="eastAsia" w:eastAsiaTheme="minorEastAsia"/>
              </w:rPr>
              <w:t>工业技术中心</w:t>
            </w:r>
            <w:r>
              <w:rPr>
                <w:rFonts w:hint="eastAsia" w:eastAsiaTheme="minorEastAsia"/>
                <w:lang w:eastAsia="zh-CN"/>
              </w:rPr>
              <w:t>（创新创业教育中心）</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课程负责人</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Theme="minorEastAsia"/>
                <w:color w:val="auto"/>
                <w:lang w:eastAsia="zh-CN"/>
              </w:rPr>
            </w:pPr>
            <w:r>
              <w:rPr>
                <w:rFonts w:hint="eastAsia" w:ascii="Times New Roman" w:hAnsi="Times New Roman" w:eastAsiaTheme="minorEastAsia"/>
                <w:color w:val="auto"/>
                <w:lang w:eastAsia="zh-CN"/>
              </w:rPr>
              <w:t>侯国柱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课程团队</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eastAsia="zh-CN"/>
              </w:rPr>
              <w:t>侯国柱、余谧、</w:t>
            </w:r>
            <w:r>
              <w:rPr>
                <w:rStyle w:val="11"/>
                <w:rFonts w:hint="eastAsia"/>
                <w:b w:val="0"/>
                <w:color w:val="000000"/>
                <w:lang w:eastAsia="zh-CN"/>
              </w:rPr>
              <w:t>张秀芳、户晗、</w:t>
            </w:r>
            <w:r>
              <w:rPr>
                <w:rStyle w:val="11"/>
                <w:rFonts w:hint="eastAsia"/>
                <w:b w:val="0"/>
                <w:color w:val="000000"/>
                <w:lang w:val="en-US" w:eastAsia="zh-CN"/>
              </w:rPr>
              <w:t>张安宇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授课学期</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eastAsiaTheme="minorEastAsia"/>
              </w:rPr>
              <w:t>春季</w:t>
            </w:r>
            <w:r>
              <w:rPr>
                <w:rFonts w:hint="eastAsia" w:eastAsiaTheme="minorEastAsia"/>
              </w:rPr>
              <w:t>、秋季</w:t>
            </w:r>
            <w:r>
              <w:rPr>
                <w:rFonts w:eastAsiaTheme="minorEastAsia"/>
              </w:rPr>
              <w:t>学期</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rPr>
            </w:pPr>
            <w:r>
              <w:rPr>
                <w:rFonts w:ascii="Times New Roman" w:hAnsi="Times New Roman" w:eastAsia="黑体"/>
              </w:rPr>
              <w:t>学分/学时</w:t>
            </w:r>
          </w:p>
        </w:tc>
        <w:tc>
          <w:tcPr>
            <w:tcW w:w="2529"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B050"/>
              </w:rPr>
            </w:pPr>
            <w:r>
              <w:rPr>
                <w:rFonts w:hint="default" w:ascii="Times New Roman" w:hAnsi="Times New Roman" w:cs="Times New Roman" w:eastAsiaTheme="minorEastAsi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课内学时</w:t>
            </w:r>
          </w:p>
        </w:tc>
        <w:tc>
          <w:tcPr>
            <w:tcW w:w="425" w:type="dxa"/>
            <w:vMerge w:val="restart"/>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Theme="minorEastAsia"/>
                <w:w w:val="90"/>
                <w:lang w:val="en-US" w:eastAsia="zh-CN"/>
              </w:rPr>
            </w:pPr>
            <w:r>
              <w:rPr>
                <w:rFonts w:hint="eastAsia" w:ascii="Times New Roman" w:hAnsi="Times New Roman" w:eastAsiaTheme="minorEastAsia"/>
                <w:w w:val="90"/>
                <w:lang w:val="en-US" w:eastAsia="zh-CN"/>
              </w:rPr>
              <w:t>32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w w:val="90"/>
              </w:rPr>
            </w:pPr>
            <w:r>
              <w:rPr>
                <w:rFonts w:ascii="Times New Roman" w:hAnsi="Times New Roman" w:eastAsia="黑体"/>
              </w:rPr>
              <w:t>理论学时</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w w:val="90"/>
                <w:lang w:val="en-US" w:eastAsia="zh-CN"/>
              </w:rPr>
            </w:pPr>
            <w:r>
              <w:rPr>
                <w:rFonts w:hint="eastAsia" w:ascii="Times New Roman" w:hAnsi="Times New Roman" w:eastAsiaTheme="minorEastAsia"/>
                <w:w w:val="90"/>
                <w:lang w:val="en-US" w:eastAsia="zh-CN"/>
              </w:rPr>
              <w:t>0</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rPr>
            </w:pPr>
            <w:r>
              <w:rPr>
                <w:rFonts w:ascii="Times New Roman" w:hAnsi="Times New Roman" w:eastAsia="黑体"/>
              </w:rPr>
              <w:t>实验学时</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lang w:val="en-US" w:eastAsia="zh-CN"/>
              </w:rPr>
            </w:pPr>
            <w:r>
              <w:rPr>
                <w:rFonts w:hint="eastAsia" w:ascii="Times New Roman" w:hAnsi="Times New Roman" w:eastAsiaTheme="minorEastAsia"/>
                <w:lang w:val="en-US" w:eastAsia="zh-CN"/>
              </w:rPr>
              <w:t>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黑体"/>
              </w:rPr>
            </w:pPr>
            <w:r>
              <w:rPr>
                <w:rFonts w:ascii="Times New Roman" w:hAnsi="Times New Roman" w:eastAsia="黑体"/>
              </w:rPr>
              <w:t>实训（含上机）</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Theme="minorEastAsia"/>
                <w:lang w:val="en-US" w:eastAsia="zh-CN"/>
              </w:rPr>
            </w:pPr>
            <w:r>
              <w:rPr>
                <w:rFonts w:hint="eastAsia" w:ascii="Times New Roman" w:hAnsi="Times New Roman" w:eastAsiaTheme="minor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rPr>
            </w:pPr>
          </w:p>
        </w:tc>
        <w:tc>
          <w:tcPr>
            <w:tcW w:w="425" w:type="dxa"/>
            <w:vMerge w:val="continue"/>
            <w:tcBorders>
              <w:left w:val="single" w:color="auto" w:sz="4" w:space="0"/>
              <w:bottom w:val="single" w:color="auto" w:sz="4" w:space="0"/>
              <w:right w:val="single" w:color="auto" w:sz="4" w:space="0"/>
            </w:tcBorders>
            <w:vAlign w:val="center"/>
          </w:tcPr>
          <w:p>
            <w:pPr>
              <w:spacing w:line="240" w:lineRule="exact"/>
              <w:rPr>
                <w:rFonts w:ascii="Times New Roman" w:hAnsi="Times New Roman" w:eastAsiaTheme="minorEastAsia"/>
                <w:w w:val="9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Theme="minorEastAsia"/>
                <w:w w:val="90"/>
              </w:rPr>
            </w:pPr>
            <w:r>
              <w:rPr>
                <w:rFonts w:ascii="Times New Roman" w:hAnsi="Times New Roman" w:eastAsia="黑体"/>
              </w:rPr>
              <w:t>实习</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Theme="minorEastAsia"/>
                <w:w w:val="90"/>
                <w:lang w:val="en-US" w:eastAsia="zh-CN"/>
              </w:rPr>
            </w:pPr>
            <w:r>
              <w:rPr>
                <w:rFonts w:hint="eastAsia" w:ascii="Times New Roman" w:hAnsi="Times New Roman" w:eastAsiaTheme="minorEastAsia"/>
                <w:w w:val="90"/>
                <w:lang w:val="en-US" w:eastAsia="zh-CN"/>
              </w:rPr>
              <w:t>0</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黑体"/>
              </w:rPr>
            </w:pPr>
            <w:r>
              <w:rPr>
                <w:rFonts w:ascii="Times New Roman" w:hAnsi="Times New Roman" w:eastAsia="黑体"/>
              </w:rPr>
              <w:t>其他</w:t>
            </w:r>
          </w:p>
        </w:tc>
        <w:tc>
          <w:tcPr>
            <w:tcW w:w="3083"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hint="eastAsia" w:ascii="Times New Roman" w:hAnsi="Times New Roman" w:eastAsia="黑体"/>
              </w:rPr>
              <w:t>面向</w:t>
            </w:r>
            <w:r>
              <w:rPr>
                <w:rFonts w:ascii="Times New Roman" w:hAnsi="Times New Roman" w:eastAsia="黑体"/>
              </w:rPr>
              <w:t>专业</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eastAsiaTheme="minorEastAsia"/>
              </w:rPr>
              <w:t>机械专业</w:t>
            </w:r>
            <w:r>
              <w:rPr>
                <w:rFonts w:eastAsiaTheme="minorEastAsia"/>
              </w:rPr>
              <w:t>、</w:t>
            </w:r>
            <w:r>
              <w:rPr>
                <w:rFonts w:hint="eastAsia" w:eastAsiaTheme="minorEastAsia"/>
              </w:rPr>
              <w:t>电气专业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授课语言</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rPr>
            </w:pPr>
            <w:r>
              <w:rPr>
                <w:rFonts w:hint="eastAsia" w:ascii="Times New Roman" w:hAnsi="Times New Roman" w:eastAsia="黑体"/>
              </w:rPr>
              <w:t>授课模式</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Wingdings 2" w:hAnsi="Wingdings 2" w:eastAsia="仿宋_GB2312" w:cs="仿宋_GB2312"/>
                <w:color w:val="000000"/>
                <w:szCs w:val="21"/>
              </w:rPr>
              <w:t></w:t>
            </w:r>
            <w:r>
              <w:rPr>
                <w:rFonts w:hint="eastAsia" w:ascii="Times New Roman" w:hAnsi="Times New Roman"/>
              </w:rPr>
              <w:t xml:space="preserve">线下课程 </w:t>
            </w:r>
            <w:r>
              <w:rPr>
                <w:rFonts w:ascii="Times New Roman" w:hAnsi="Times New Roman"/>
              </w:rPr>
              <w:t xml:space="preserve">                </w:t>
            </w:r>
            <w:r>
              <w:rPr>
                <w:rFonts w:hint="eastAsia" w:ascii="宋体" w:hAnsi="宋体"/>
              </w:rPr>
              <w:t>□</w:t>
            </w:r>
            <w:r>
              <w:rPr>
                <w:rFonts w:hint="eastAsia" w:ascii="Times New Roman" w:hAnsi="Times New Roman"/>
              </w:rPr>
              <w:t>全英语课程</w:t>
            </w:r>
          </w:p>
          <w:p>
            <w:pPr>
              <w:jc w:val="left"/>
              <w:rPr>
                <w:rFonts w:ascii="Times New Roman" w:hAnsi="Times New Roman"/>
              </w:rPr>
            </w:pPr>
            <w:r>
              <w:rPr>
                <w:rFonts w:hint="eastAsia" w:ascii="宋体" w:hAnsi="宋体"/>
              </w:rPr>
              <w:t>□</w:t>
            </w:r>
            <w:r>
              <w:rPr>
                <w:rFonts w:hint="eastAsia" w:ascii="Times New Roman" w:hAnsi="Times New Roman"/>
              </w:rPr>
              <w:t>线上线下混合课程</w:t>
            </w:r>
          </w:p>
          <w:p>
            <w:pPr>
              <w:ind w:firstLine="420" w:firstLineChars="200"/>
              <w:jc w:val="left"/>
              <w:rPr>
                <w:rFonts w:ascii="Times New Roman" w:hAnsi="Times New Roman"/>
              </w:rPr>
            </w:pPr>
            <w:r>
              <w:rPr>
                <w:rFonts w:hint="eastAsia" w:ascii="Times New Roman" w:hAnsi="Times New Roman"/>
              </w:rPr>
              <w:t>（网站：</w:t>
            </w:r>
            <w:r>
              <w:rPr>
                <w:rFonts w:ascii="Times New Roman" w:hAnsi="Times New Roman"/>
              </w:rPr>
              <w:t xml:space="preserve">                                          </w:t>
            </w:r>
            <w:r>
              <w:rPr>
                <w:rFonts w:hint="eastAsia" w:ascii="Times New Roman" w:hAnsi="Times New Roman" w:eastAsia="仿宋_GB2312"/>
                <w:color w:val="000000"/>
                <w:szCs w:val="21"/>
              </w:rPr>
              <w:t>）</w:t>
            </w:r>
          </w:p>
          <w:p>
            <w:pPr>
              <w:jc w:val="left"/>
              <w:rPr>
                <w:rFonts w:ascii="Times New Roman" w:hAnsi="Times New Roman"/>
              </w:rPr>
            </w:pPr>
            <w:r>
              <w:rPr>
                <w:rFonts w:hint="eastAsia" w:ascii="宋体" w:hAnsi="宋体"/>
              </w:rPr>
              <w:t>□</w:t>
            </w:r>
            <w:r>
              <w:rPr>
                <w:rFonts w:hint="eastAsia" w:ascii="Times New Roman" w:hAnsi="Times New Roman"/>
              </w:rPr>
              <w:t>在线开放课程</w:t>
            </w:r>
          </w:p>
          <w:p>
            <w:pPr>
              <w:ind w:firstLine="420" w:firstLineChars="200"/>
              <w:jc w:val="left"/>
              <w:rPr>
                <w:rFonts w:ascii="Times New Roman" w:hAnsi="Times New Roman"/>
              </w:rPr>
            </w:pPr>
            <w:r>
              <w:rPr>
                <w:rFonts w:hint="eastAsia" w:ascii="Times New Roman" w:hAnsi="Times New Roman"/>
              </w:rPr>
              <w:t xml:space="preserve">（课程网站：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FF0000"/>
              </w:rPr>
            </w:pPr>
            <w:r>
              <w:rPr>
                <w:rFonts w:ascii="Times New Roman" w:hAnsi="Times New Roman" w:eastAsia="黑体"/>
              </w:rPr>
              <w:t>对先修的要求</w:t>
            </w:r>
            <w:r>
              <w:rPr>
                <w:rFonts w:hint="eastAsia" w:ascii="Times New Roman" w:hAnsi="Times New Roman" w:eastAsia="黑体"/>
              </w:rPr>
              <w:t>及先修课程</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hint="eastAsia" w:eastAsiaTheme="minorEastAsia"/>
              </w:rPr>
              <w:t>本课程要求学生</w:t>
            </w:r>
            <w:r>
              <w:rPr>
                <w:rFonts w:eastAsiaTheme="minorEastAsia"/>
              </w:rPr>
              <w:t>有较好的数学理论基础和</w:t>
            </w:r>
            <w:r>
              <w:rPr>
                <w:rFonts w:hint="eastAsia" w:eastAsiaTheme="minorEastAsia"/>
              </w:rPr>
              <w:t>工程制图</w:t>
            </w:r>
            <w:r>
              <w:rPr>
                <w:rFonts w:eastAsiaTheme="minorEastAsia"/>
              </w:rPr>
              <w:t>基础，掌握</w:t>
            </w:r>
            <w:r>
              <w:rPr>
                <w:rFonts w:hint="eastAsia" w:eastAsiaTheme="minorEastAsia"/>
              </w:rPr>
              <w:t>工程制图</w:t>
            </w:r>
            <w:r>
              <w:rPr>
                <w:rFonts w:eastAsiaTheme="minorEastAsia"/>
              </w:rPr>
              <w:t>的基本</w:t>
            </w:r>
            <w:r>
              <w:rPr>
                <w:rFonts w:hint="eastAsia" w:eastAsiaTheme="minorEastAsia"/>
              </w:rPr>
              <w:t>原理</w:t>
            </w:r>
            <w:r>
              <w:rPr>
                <w:rFonts w:eastAsiaTheme="minorEastAsia"/>
              </w:rPr>
              <w:t>和</w:t>
            </w:r>
            <w:r>
              <w:rPr>
                <w:rFonts w:hint="eastAsia" w:eastAsiaTheme="minorEastAsia"/>
              </w:rPr>
              <w:t>方法，具备一定的三维空间概念</w:t>
            </w:r>
            <w:r>
              <w:rPr>
                <w:rFonts w:eastAsiaTheme="minorEastAsia"/>
              </w:rPr>
              <w:t>。</w:t>
            </w:r>
            <w:r>
              <w:rPr>
                <w:rFonts w:hint="eastAsia" w:eastAsiaTheme="minorEastAsia"/>
              </w:rPr>
              <w:t>先修课程包含有高等数学、工程制图</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FF0000"/>
              </w:rPr>
            </w:pPr>
            <w:r>
              <w:rPr>
                <w:rFonts w:ascii="Times New Roman" w:hAnsi="Times New Roman" w:eastAsia="黑体"/>
              </w:rPr>
              <w:t>对后续的支撑</w:t>
            </w:r>
            <w:r>
              <w:rPr>
                <w:rFonts w:hint="eastAsia" w:ascii="Times New Roman" w:hAnsi="Times New Roman" w:eastAsia="黑体"/>
              </w:rPr>
              <w:t>及后续课程</w:t>
            </w:r>
          </w:p>
        </w:tc>
        <w:tc>
          <w:tcPr>
            <w:tcW w:w="6343" w:type="dxa"/>
            <w:gridSpan w:val="11"/>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eastAsiaTheme="minorEastAsia"/>
              </w:rPr>
              <w:t>后续课程主要有</w:t>
            </w:r>
            <w:r>
              <w:rPr>
                <w:rFonts w:hint="eastAsia" w:eastAsiaTheme="minorEastAsia"/>
              </w:rPr>
              <w:t>课程设计和毕业设计</w:t>
            </w:r>
            <w:r>
              <w:rPr>
                <w:rFonts w:eastAsiaTheme="minorEastAsia"/>
              </w:rPr>
              <w:t>。对后续课程提供</w:t>
            </w:r>
            <w:r>
              <w:rPr>
                <w:rFonts w:hint="eastAsia" w:eastAsiaTheme="minorEastAsia"/>
              </w:rPr>
              <w:t>数控机床编程基础</w:t>
            </w:r>
            <w:r>
              <w:rPr>
                <w:rFonts w:eastAsiaTheme="minorEastAsia"/>
              </w:rPr>
              <w:t>、</w:t>
            </w:r>
            <w:r>
              <w:rPr>
                <w:rFonts w:hint="eastAsia" w:eastAsiaTheme="minorEastAsia"/>
              </w:rPr>
              <w:t>数控车床阶梯轴零件的工艺分析、数控铣床盘类零件的工艺分析</w:t>
            </w:r>
            <w:r>
              <w:rPr>
                <w:rFonts w:eastAsiaTheme="minorEastAsia"/>
              </w:rPr>
              <w:t>等</w:t>
            </w:r>
            <w:r>
              <w:rPr>
                <w:rFonts w:hint="eastAsia" w:eastAsiaTheme="minorEastAsia"/>
              </w:rPr>
              <w:t>相关</w:t>
            </w:r>
            <w:r>
              <w:rPr>
                <w:rFonts w:eastAsiaTheme="minorEastAsia"/>
              </w:rPr>
              <w:t>支持，培养学生针对</w:t>
            </w:r>
            <w:r>
              <w:rPr>
                <w:rFonts w:hint="eastAsia" w:eastAsiaTheme="minorEastAsia"/>
              </w:rPr>
              <w:t>数控加工技术的</w:t>
            </w:r>
            <w:r>
              <w:rPr>
                <w:rFonts w:eastAsiaTheme="minorEastAsia"/>
              </w:rPr>
              <w:t>具体应用需求</w:t>
            </w:r>
            <w:r>
              <w:rPr>
                <w:rFonts w:hint="eastAsia" w:eastAsiaTheme="minorEastAsia"/>
              </w:rPr>
              <w:t>以及</w:t>
            </w:r>
            <w:r>
              <w:rPr>
                <w:rFonts w:eastAsiaTheme="minorEastAsia"/>
                <w:szCs w:val="21"/>
              </w:rPr>
              <w:t>将理论知识与实际</w:t>
            </w:r>
            <w:r>
              <w:rPr>
                <w:rFonts w:hint="eastAsia" w:eastAsiaTheme="minorEastAsia"/>
                <w:szCs w:val="21"/>
              </w:rPr>
              <w:t>数控</w:t>
            </w:r>
            <w:r>
              <w:rPr>
                <w:rFonts w:eastAsiaTheme="minorEastAsia"/>
                <w:szCs w:val="21"/>
              </w:rPr>
              <w:t>系统相结合的分析问题、解决问题的能力。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黑体"/>
              </w:rPr>
            </w:pPr>
            <w:r>
              <w:rPr>
                <w:rFonts w:ascii="Times New Roman" w:hAnsi="Times New Roman" w:eastAsia="黑体"/>
              </w:rPr>
              <w:t>课程思政设计</w:t>
            </w:r>
          </w:p>
        </w:tc>
        <w:tc>
          <w:tcPr>
            <w:tcW w:w="29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课程思政目标</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教学内容</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int="eastAsia" w:ascii="Times New Roman" w:hAnsi="Times New Roman" w:eastAsiaTheme="minorEastAsia"/>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Theme="minorEastAsia"/>
              </w:rPr>
            </w:pPr>
            <w:r>
              <w:rPr>
                <w:rFonts w:hAnsi="宋体"/>
                <w:szCs w:val="21"/>
              </w:rPr>
              <w:t>积极引导学生树立正确的安全观</w:t>
            </w:r>
            <w:r>
              <w:rPr>
                <w:rFonts w:hAnsi="宋体"/>
              </w:rPr>
              <w:t>。同时对学生进行诚信教育，提高责任意识，要求每个学生独立完成对刀操作，通过检查学生记录的数据检测学生是否做到诚信做人。</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从数控机床对刀操作的应用出发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szCs w:val="21"/>
              </w:rPr>
              <w:t>引导和培养学生家国情怀，</w:t>
            </w:r>
            <w:r>
              <w:rPr>
                <w:rFonts w:hAnsi="宋体"/>
              </w:rPr>
              <w:t>培养学生环保、质量以及经济意识，培养学生关注细节以及严谨的工作作风。</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从阶梯轴零件和盘类零件的数控加工出发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80" w:type="dxa"/>
            <w:vMerge w:val="continue"/>
            <w:tcBorders>
              <w:left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Times New Roman" w:hAnsi="Times New Roman" w:eastAsiaTheme="minorEastAsia"/>
              </w:rPr>
            </w:pPr>
            <w:r>
              <w:rPr>
                <w:rFonts w:hAnsi="宋体"/>
                <w:szCs w:val="21"/>
              </w:rPr>
              <w:t>积极引导学生培养</w:t>
            </w:r>
            <w:r>
              <w:rPr>
                <w:szCs w:val="21"/>
              </w:rPr>
              <w:t>“</w:t>
            </w:r>
            <w:r>
              <w:rPr>
                <w:rFonts w:hAnsi="宋体"/>
                <w:szCs w:val="21"/>
              </w:rPr>
              <w:t>敬业</w:t>
            </w:r>
            <w:r>
              <w:rPr>
                <w:szCs w:val="21"/>
              </w:rPr>
              <w:t>”</w:t>
            </w:r>
            <w:r>
              <w:rPr>
                <w:rFonts w:hAnsi="宋体"/>
                <w:szCs w:val="21"/>
              </w:rPr>
              <w:t>、</w:t>
            </w:r>
            <w:r>
              <w:rPr>
                <w:szCs w:val="21"/>
              </w:rPr>
              <w:t>“</w:t>
            </w:r>
            <w:r>
              <w:rPr>
                <w:rFonts w:hAnsi="宋体"/>
                <w:szCs w:val="21"/>
              </w:rPr>
              <w:t>精益</w:t>
            </w:r>
            <w:r>
              <w:rPr>
                <w:szCs w:val="21"/>
              </w:rPr>
              <w:t>”</w:t>
            </w:r>
            <w:r>
              <w:rPr>
                <w:rFonts w:hAnsi="宋体"/>
                <w:szCs w:val="21"/>
              </w:rPr>
              <w:t>、</w:t>
            </w:r>
            <w:r>
              <w:rPr>
                <w:szCs w:val="21"/>
              </w:rPr>
              <w:t>“</w:t>
            </w:r>
            <w:r>
              <w:rPr>
                <w:rFonts w:hAnsi="宋体"/>
                <w:szCs w:val="21"/>
              </w:rPr>
              <w:t>专注</w:t>
            </w:r>
            <w:r>
              <w:rPr>
                <w:szCs w:val="21"/>
              </w:rPr>
              <w:t>”</w:t>
            </w:r>
            <w:r>
              <w:rPr>
                <w:rFonts w:hAnsi="宋体"/>
                <w:szCs w:val="21"/>
              </w:rPr>
              <w:t>、</w:t>
            </w:r>
            <w:r>
              <w:rPr>
                <w:szCs w:val="21"/>
              </w:rPr>
              <w:t>“</w:t>
            </w:r>
            <w:r>
              <w:rPr>
                <w:rFonts w:hAnsi="宋体"/>
                <w:szCs w:val="21"/>
              </w:rPr>
              <w:t>创新</w:t>
            </w:r>
            <w:r>
              <w:rPr>
                <w:szCs w:val="21"/>
              </w:rPr>
              <w:t>”</w:t>
            </w:r>
            <w:r>
              <w:rPr>
                <w:rFonts w:hAnsi="宋体"/>
                <w:szCs w:val="21"/>
              </w:rPr>
              <w:t>的大国工匠精神。</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将大国工匠典型素材融入课堂</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80"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黑体"/>
              </w:rPr>
            </w:pPr>
          </w:p>
        </w:tc>
        <w:tc>
          <w:tcPr>
            <w:tcW w:w="2977"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szCs w:val="21"/>
              </w:rPr>
              <w:t>积极引导学生培养团队协作精神。</w:t>
            </w:r>
          </w:p>
        </w:tc>
        <w:tc>
          <w:tcPr>
            <w:tcW w:w="1842"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hAnsi="宋体"/>
              </w:rPr>
              <w:t>从被加工零件的测量应用出发</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hAnsi="宋体"/>
                <w:kern w:val="0"/>
                <w:szCs w:val="21"/>
              </w:rPr>
              <w:t>案例教学</w:t>
            </w:r>
          </w:p>
        </w:tc>
      </w:tr>
    </w:tbl>
    <w:p>
      <w:pPr>
        <w:widowControl/>
        <w:jc w:val="left"/>
        <w:rPr>
          <w:rFonts w:ascii="Times New Roman" w:hAnsi="Times New Roman" w:eastAsia="黑体"/>
          <w:sz w:val="24"/>
        </w:rPr>
      </w:pPr>
    </w:p>
    <w:p>
      <w:pPr>
        <w:widowControl/>
        <w:jc w:val="left"/>
        <w:rPr>
          <w:rFonts w:ascii="Times New Roman" w:hAnsi="Times New Roman" w:eastAsia="黑体"/>
          <w:sz w:val="24"/>
        </w:rPr>
      </w:pPr>
      <w:r>
        <w:rPr>
          <w:rFonts w:hint="eastAsia" w:ascii="Times New Roman" w:hAnsi="Times New Roman" w:eastAsia="黑体"/>
          <w:sz w:val="24"/>
        </w:rPr>
        <w:t>二、课程简介</w:t>
      </w:r>
    </w:p>
    <w:p>
      <w:pPr>
        <w:widowControl/>
        <w:ind w:firstLine="420" w:firstLineChars="200"/>
        <w:jc w:val="left"/>
        <w:rPr>
          <w:rFonts w:ascii="Times New Roman" w:hAnsi="Times New Roman" w:eastAsia="黑体"/>
          <w:sz w:val="24"/>
        </w:rPr>
      </w:pPr>
      <w:r>
        <w:rPr>
          <w:rFonts w:eastAsiaTheme="minorEastAsia"/>
          <w:szCs w:val="21"/>
        </w:rPr>
        <w:t>本课程是</w:t>
      </w:r>
      <w:r>
        <w:rPr>
          <w:rFonts w:hint="eastAsia" w:eastAsiaTheme="minorEastAsia"/>
          <w:szCs w:val="21"/>
        </w:rPr>
        <w:t>机械和电气</w:t>
      </w:r>
      <w:r>
        <w:rPr>
          <w:rFonts w:eastAsiaTheme="minorEastAsia"/>
          <w:szCs w:val="21"/>
        </w:rPr>
        <w:t>专业重要的专业</w:t>
      </w:r>
      <w:r>
        <w:rPr>
          <w:rFonts w:hint="eastAsia" w:eastAsiaTheme="minorEastAsia"/>
          <w:szCs w:val="21"/>
        </w:rPr>
        <w:t>实训</w:t>
      </w:r>
      <w:r>
        <w:rPr>
          <w:rFonts w:eastAsiaTheme="minorEastAsia"/>
          <w:szCs w:val="21"/>
        </w:rPr>
        <w:t>课</w:t>
      </w:r>
      <w:r>
        <w:rPr>
          <w:rFonts w:hint="eastAsia" w:asciiTheme="minorEastAsia" w:hAnsiTheme="minorEastAsia" w:eastAsiaTheme="minorEastAsia"/>
        </w:rPr>
        <w:t>，本课程通过实训教学环节，</w:t>
      </w:r>
      <w:r>
        <w:rPr>
          <w:rFonts w:hint="eastAsia" w:eastAsiaTheme="minorEastAsia"/>
          <w:szCs w:val="21"/>
        </w:rPr>
        <w:t>使学生熟悉数控机床加工技术的特性、基本原理和编程方法，掌握数控车床、数控铣床的基本构造、工作原理和操作方法，培养学生能够根据不同零件的基本要求选择合适的加工设备以及合理的加工工艺</w:t>
      </w:r>
      <w:r>
        <w:rPr>
          <w:rFonts w:eastAsiaTheme="minorEastAsia"/>
          <w:szCs w:val="21"/>
        </w:rPr>
        <w:t>。为后继课程学习奠定必要的理论</w:t>
      </w:r>
      <w:r>
        <w:rPr>
          <w:rFonts w:hint="eastAsia" w:eastAsiaTheme="minorEastAsia"/>
          <w:szCs w:val="21"/>
        </w:rPr>
        <w:t>和实践</w:t>
      </w:r>
      <w:r>
        <w:rPr>
          <w:rFonts w:eastAsiaTheme="minorEastAsia"/>
          <w:szCs w:val="21"/>
        </w:rPr>
        <w:t>基础，</w:t>
      </w:r>
      <w:r>
        <w:rPr>
          <w:rFonts w:hint="eastAsia" w:eastAsiaTheme="minorEastAsia"/>
          <w:szCs w:val="21"/>
        </w:rPr>
        <w:t>培养学生追求创新的意识和动力。</w:t>
      </w:r>
      <w:r>
        <w:rPr>
          <w:rFonts w:eastAsiaTheme="minorEastAsia"/>
          <w:szCs w:val="21"/>
        </w:rPr>
        <w:t>主要教学方法</w:t>
      </w:r>
      <w:r>
        <w:rPr>
          <w:rFonts w:hint="eastAsia"/>
        </w:rPr>
        <w:t>采用教师“</w:t>
      </w:r>
      <w:r>
        <w:t>做中教</w:t>
      </w:r>
      <w:r>
        <w:rPr>
          <w:rFonts w:hint="eastAsia"/>
        </w:rPr>
        <w:t>”、</w:t>
      </w:r>
      <w:r>
        <w:t>学生</w:t>
      </w:r>
      <w:r>
        <w:rPr>
          <w:rFonts w:hint="eastAsia"/>
        </w:rPr>
        <w:t>“</w:t>
      </w:r>
      <w:r>
        <w:t>做中学</w:t>
      </w:r>
      <w:r>
        <w:rPr>
          <w:rFonts w:hint="eastAsia"/>
        </w:rPr>
        <w:t>”</w:t>
      </w:r>
      <w:r>
        <w:rPr>
          <w:rFonts w:eastAsiaTheme="minorEastAsia"/>
          <w:szCs w:val="21"/>
        </w:rPr>
        <w:t>的教学方式，将理论教学、</w:t>
      </w:r>
      <w:r>
        <w:rPr>
          <w:rFonts w:hint="eastAsia" w:eastAsiaTheme="minorEastAsia"/>
          <w:szCs w:val="21"/>
        </w:rPr>
        <w:t>实训</w:t>
      </w:r>
      <w:r>
        <w:rPr>
          <w:rFonts w:eastAsiaTheme="minorEastAsia"/>
          <w:szCs w:val="21"/>
        </w:rPr>
        <w:t>教学有机结合。学生通过</w:t>
      </w:r>
      <w:r>
        <w:rPr>
          <w:rFonts w:hint="eastAsia" w:eastAsiaTheme="minorEastAsia"/>
          <w:szCs w:val="21"/>
        </w:rPr>
        <w:t>反复观看和琢磨</w:t>
      </w:r>
      <w:r>
        <w:t>教师</w:t>
      </w:r>
      <w:r>
        <w:rPr>
          <w:rFonts w:hint="eastAsia"/>
        </w:rPr>
        <w:t>的</w:t>
      </w:r>
      <w:r>
        <w:t>操作演示</w:t>
      </w:r>
      <w:r>
        <w:rPr>
          <w:rFonts w:hint="eastAsia"/>
        </w:rPr>
        <w:t>，</w:t>
      </w:r>
      <w:r>
        <w:t>采用团队合作的教学模式</w:t>
      </w:r>
      <w:r>
        <w:rPr>
          <w:rFonts w:hint="eastAsia"/>
        </w:rPr>
        <w:t>进行分组训练，从而提高数控机床编程和加工的实际能力</w:t>
      </w:r>
      <w:r>
        <w:rPr>
          <w:rFonts w:eastAsiaTheme="minorEastAsia"/>
          <w:szCs w:val="21"/>
        </w:rPr>
        <w:t>。</w:t>
      </w:r>
    </w:p>
    <w:p>
      <w:pPr>
        <w:widowControl/>
        <w:jc w:val="left"/>
        <w:rPr>
          <w:b/>
          <w:bCs/>
          <w:color w:val="0070C0"/>
          <w:sz w:val="22"/>
          <w:szCs w:val="21"/>
          <w:shd w:val="clear" w:color="auto" w:fill="FFFFFF"/>
        </w:rPr>
      </w:pPr>
      <w:r>
        <w:rPr>
          <w:rFonts w:hint="eastAsia" w:ascii="Times New Roman" w:hAnsi="Times New Roman" w:eastAsia="黑体"/>
          <w:sz w:val="24"/>
        </w:rPr>
        <w:t>三</w:t>
      </w:r>
      <w:r>
        <w:rPr>
          <w:rFonts w:ascii="Times New Roman" w:hAnsi="Times New Roman" w:eastAsia="黑体"/>
          <w:sz w:val="24"/>
        </w:rPr>
        <w:t>、课程目标及对毕业要求的支撑</w:t>
      </w:r>
    </w:p>
    <w:p>
      <w:pPr>
        <w:widowControl/>
        <w:jc w:val="center"/>
        <w:rPr>
          <w:b/>
          <w:bCs/>
          <w:sz w:val="22"/>
          <w:szCs w:val="21"/>
          <w:shd w:val="clear" w:color="auto" w:fill="FFFFFF"/>
        </w:rPr>
      </w:pPr>
    </w:p>
    <w:tbl>
      <w:tblPr>
        <w:tblStyle w:val="9"/>
        <w:tblW w:w="6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850" w:type="dxa"/>
            <w:shd w:val="clear" w:color="auto" w:fill="EEECE1" w:themeFill="background2"/>
            <w:vAlign w:val="center"/>
          </w:tcPr>
          <w:p>
            <w:pPr>
              <w:spacing w:line="320" w:lineRule="exact"/>
              <w:jc w:val="left"/>
              <w:rPr>
                <w:rFonts w:ascii="Times New Roman" w:hAnsi="Times New Roman" w:eastAsia="黑体"/>
              </w:rPr>
            </w:pPr>
            <w:r>
              <w:rPr>
                <w:rFonts w:ascii="Times New Roman" w:hAnsi="Times New Roman" w:eastAsia="黑体"/>
                <w:szCs w:val="21"/>
              </w:rPr>
              <w:t>序号</w:t>
            </w:r>
          </w:p>
        </w:tc>
        <w:tc>
          <w:tcPr>
            <w:tcW w:w="5382" w:type="dxa"/>
            <w:shd w:val="clear" w:color="auto" w:fill="EEECE1" w:themeFill="background2"/>
            <w:vAlign w:val="center"/>
          </w:tcPr>
          <w:p>
            <w:pPr>
              <w:spacing w:line="320" w:lineRule="exact"/>
              <w:ind w:firstLine="480"/>
              <w:jc w:val="center"/>
              <w:rPr>
                <w:rFonts w:ascii="Times New Roman" w:hAnsi="Times New Roman" w:eastAsia="黑体"/>
              </w:rPr>
            </w:pPr>
            <w:r>
              <w:rPr>
                <w:rFonts w:ascii="Times New Roman" w:hAnsi="Times New Roman" w:eastAsia="黑体"/>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50" w:type="dxa"/>
            <w:vAlign w:val="center"/>
          </w:tcPr>
          <w:p>
            <w:pPr>
              <w:spacing w:line="320" w:lineRule="exact"/>
              <w:ind w:firstLine="480"/>
              <w:jc w:val="center"/>
              <w:rPr>
                <w:rFonts w:ascii="Times New Roman" w:hAnsi="Times New Roman" w:eastAsiaTheme="minorEastAsia"/>
                <w:szCs w:val="21"/>
              </w:rPr>
            </w:pPr>
            <w:r>
              <w:rPr>
                <w:rFonts w:ascii="Times New Roman" w:hAnsi="Times New Roman" w:eastAsiaTheme="minorEastAsia"/>
              </w:rPr>
              <w:t>1</w:t>
            </w:r>
          </w:p>
        </w:tc>
        <w:tc>
          <w:tcPr>
            <w:tcW w:w="5382" w:type="dxa"/>
            <w:vAlign w:val="center"/>
          </w:tcPr>
          <w:p>
            <w:pPr>
              <w:spacing w:line="320" w:lineRule="exact"/>
              <w:jc w:val="left"/>
              <w:rPr>
                <w:rFonts w:ascii="Times New Roman" w:hAnsi="Times New Roman" w:eastAsiaTheme="minorEastAsia"/>
                <w:sz w:val="21"/>
                <w:szCs w:val="21"/>
              </w:rPr>
            </w:pPr>
            <w:r>
              <w:rPr>
                <w:rFonts w:hint="eastAsia" w:ascii="宋体" w:hAnsi="宋体" w:cs="宋体"/>
                <w:sz w:val="21"/>
                <w:szCs w:val="21"/>
              </w:rPr>
              <w:t>课程目标1：</w:t>
            </w:r>
            <w:r>
              <w:rPr>
                <w:rFonts w:hint="eastAsia" w:ascii="宋体" w:hAnsi="宋体" w:cs="宋体"/>
                <w:kern w:val="0"/>
                <w:sz w:val="21"/>
                <w:szCs w:val="21"/>
              </w:rPr>
              <w:t>理解数控车床的工作原理，掌握常用轴类零件的数控加工工艺，学会应用FANUC 0i系统数控机床仿真软件进行轴类零件的编程和加工。</w:t>
            </w:r>
            <w:r>
              <w:rPr>
                <w:rFonts w:hint="eastAsia"/>
                <w:kern w:val="2"/>
                <w:sz w:val="21"/>
                <w:szCs w:val="21"/>
              </w:rPr>
              <w:t>掌握数控车床加工的操作技能和编程方法。其中包含台阶、直线、圆弧、锥面的数控车削加工技术和操作技能。能够</w:t>
            </w:r>
            <w:r>
              <w:rPr>
                <w:rFonts w:hint="eastAsia"/>
                <w:kern w:val="2"/>
                <w:sz w:val="21"/>
                <w:szCs w:val="21"/>
                <w:lang w:val="en-US" w:eastAsia="zh-CN"/>
              </w:rPr>
              <w:t>严格遵守各项加工工艺操作规程，并且按要求开展零件加工，无安全操作隐患。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Align w:val="center"/>
          </w:tcPr>
          <w:p>
            <w:pPr>
              <w:spacing w:line="320" w:lineRule="exact"/>
              <w:ind w:firstLine="480"/>
              <w:jc w:val="center"/>
              <w:rPr>
                <w:rFonts w:hint="eastAsia" w:ascii="Times New Roman" w:hAnsi="Times New Roman" w:eastAsiaTheme="minorEastAsia"/>
                <w:lang w:eastAsia="zh-CN"/>
              </w:rPr>
            </w:pPr>
            <w:r>
              <w:rPr>
                <w:rFonts w:hint="eastAsia" w:ascii="Times New Roman" w:hAnsi="Times New Roman" w:eastAsiaTheme="minorEastAsia"/>
                <w:lang w:val="en-US" w:eastAsia="zh-CN"/>
              </w:rPr>
              <w:t>2</w:t>
            </w:r>
          </w:p>
        </w:tc>
        <w:tc>
          <w:tcPr>
            <w:tcW w:w="5382" w:type="dxa"/>
            <w:vAlign w:val="center"/>
          </w:tcPr>
          <w:p>
            <w:pPr>
              <w:pStyle w:val="6"/>
              <w:rPr>
                <w:rFonts w:ascii="Times New Roman" w:hAnsi="Times New Roman" w:eastAsiaTheme="minorEastAsia"/>
                <w:sz w:val="21"/>
                <w:szCs w:val="21"/>
              </w:rPr>
            </w:pPr>
            <w:r>
              <w:rPr>
                <w:rFonts w:hint="eastAsia"/>
                <w:sz w:val="21"/>
                <w:szCs w:val="21"/>
              </w:rPr>
              <w:t>课程目标</w:t>
            </w:r>
            <w:r>
              <w:rPr>
                <w:rFonts w:hint="eastAsia"/>
                <w:sz w:val="21"/>
                <w:szCs w:val="21"/>
                <w:lang w:val="en-US" w:eastAsia="zh-CN"/>
              </w:rPr>
              <w:t>2</w:t>
            </w:r>
            <w:r>
              <w:rPr>
                <w:rFonts w:hint="eastAsia"/>
                <w:sz w:val="21"/>
                <w:szCs w:val="21"/>
              </w:rPr>
              <w:t>：理解数控铣床的工作原理，掌握常用盘类零件的数控加工工艺，学会应用FANUC 0i系统数控机床仿真软件进行盘类零件的编程和加工。掌握数控铣床加工的操作技能和编程方法。其中包含台阶、腔槽、平面轮廓、盲孔的数控铣削加工技术和操作技能。</w:t>
            </w:r>
            <w:r>
              <w:rPr>
                <w:rFonts w:hint="eastAsia"/>
                <w:sz w:val="21"/>
                <w:szCs w:val="21"/>
                <w:lang w:eastAsia="zh-CN"/>
              </w:rPr>
              <w:t>能够在加工过程中完全遵守操作规程，按要求使用设备，并做好工量具保护。</w:t>
            </w:r>
          </w:p>
        </w:tc>
      </w:tr>
    </w:tbl>
    <w:p>
      <w:pPr>
        <w:widowControl/>
        <w:snapToGrid w:val="0"/>
        <w:spacing w:line="360" w:lineRule="auto"/>
        <w:jc w:val="left"/>
        <w:rPr>
          <w:rFonts w:ascii="Times New Roman" w:hAnsi="Times New Roman" w:eastAsia="黑体"/>
          <w:sz w:val="24"/>
        </w:rPr>
      </w:pPr>
    </w:p>
    <w:p>
      <w:pPr>
        <w:widowControl/>
        <w:snapToGrid w:val="0"/>
        <w:spacing w:line="360" w:lineRule="auto"/>
        <w:jc w:val="left"/>
        <w:rPr>
          <w:rFonts w:ascii="Times New Roman" w:hAnsi="Times New Roman" w:eastAsia="黑体"/>
          <w:sz w:val="24"/>
        </w:rPr>
      </w:pPr>
      <w:r>
        <w:rPr>
          <w:rFonts w:hint="eastAsia" w:ascii="Times New Roman" w:hAnsi="Times New Roman" w:eastAsia="黑体"/>
          <w:sz w:val="24"/>
        </w:rPr>
        <w:t>四</w:t>
      </w:r>
      <w:r>
        <w:rPr>
          <w:rFonts w:ascii="Times New Roman" w:hAnsi="Times New Roman" w:eastAsia="黑体"/>
          <w:sz w:val="24"/>
        </w:rPr>
        <w:t>、教学内容/</w:t>
      </w:r>
      <w:r>
        <w:rPr>
          <w:rFonts w:hint="eastAsia" w:ascii="Times New Roman" w:hAnsi="Times New Roman" w:eastAsia="黑体"/>
          <w:sz w:val="24"/>
        </w:rPr>
        <w:t>教学环节</w:t>
      </w:r>
      <w:r>
        <w:rPr>
          <w:rFonts w:ascii="Times New Roman" w:hAnsi="Times New Roman" w:eastAsia="黑体"/>
          <w:sz w:val="24"/>
        </w:rPr>
        <w:t>及进度安排</w:t>
      </w:r>
    </w:p>
    <w:tbl>
      <w:tblPr>
        <w:tblStyle w:val="9"/>
        <w:tblpPr w:leftFromText="180" w:rightFromText="180" w:vertAnchor="text" w:horzAnchor="page" w:tblpX="1671" w:tblpY="476"/>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5"/>
        <w:gridCol w:w="1921"/>
        <w:gridCol w:w="199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2835"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教学内容/教学环节</w:t>
            </w:r>
          </w:p>
        </w:tc>
        <w:tc>
          <w:tcPr>
            <w:tcW w:w="1921" w:type="dxa"/>
            <w:tcBorders>
              <w:top w:val="single" w:color="auto" w:sz="4" w:space="0"/>
              <w:left w:val="single" w:color="auto" w:sz="4" w:space="0"/>
              <w:bottom w:val="single" w:color="auto" w:sz="4" w:space="0"/>
              <w:right w:val="single" w:color="auto" w:sz="4" w:space="0"/>
            </w:tcBorders>
            <w:shd w:val="clear" w:color="auto" w:fill="EEECE1" w:themeFill="background2"/>
          </w:tcPr>
          <w:p>
            <w:pPr>
              <w:snapToGrid w:val="0"/>
              <w:jc w:val="center"/>
              <w:rPr>
                <w:rFonts w:hint="default" w:ascii="Times New Roman" w:hAnsi="Times New Roman" w:eastAsia="黑体" w:cs="Times New Roman"/>
                <w:szCs w:val="20"/>
              </w:rPr>
            </w:pPr>
            <w:r>
              <w:rPr>
                <w:rFonts w:hint="default" w:ascii="Times New Roman" w:hAnsi="Times New Roman" w:eastAsia="黑体" w:cs="Times New Roman"/>
                <w:szCs w:val="20"/>
              </w:rPr>
              <w:t>授课方式及学时</w:t>
            </w:r>
          </w:p>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0"/>
              </w:rPr>
              <w:t>（</w:t>
            </w:r>
            <w:r>
              <w:rPr>
                <w:rFonts w:hint="default" w:ascii="Times New Roman" w:hAnsi="Times New Roman" w:eastAsia="黑体" w:cs="Times New Roman"/>
                <w:color w:val="0070C0"/>
                <w:sz w:val="18"/>
                <w:szCs w:val="16"/>
              </w:rPr>
              <w:t>注：包括课堂讲授、实验操作、分组讨论、线上自学、翻转课堂等，可根据实际情况填写</w:t>
            </w:r>
            <w:r>
              <w:rPr>
                <w:rFonts w:hint="default" w:ascii="Times New Roman" w:hAnsi="Times New Roman" w:eastAsia="黑体" w:cs="Times New Roman"/>
                <w:szCs w:val="20"/>
              </w:rPr>
              <w:t>）</w:t>
            </w:r>
          </w:p>
        </w:tc>
        <w:tc>
          <w:tcPr>
            <w:tcW w:w="1993"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学生学习预期成果</w:t>
            </w:r>
          </w:p>
        </w:tc>
        <w:tc>
          <w:tcPr>
            <w:tcW w:w="1194"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napToGrid w:val="0"/>
              <w:jc w:val="center"/>
              <w:rPr>
                <w:rFonts w:hint="default" w:ascii="Times New Roman" w:hAnsi="Times New Roman" w:eastAsia="黑体" w:cs="Times New Roman"/>
                <w:szCs w:val="21"/>
              </w:rPr>
            </w:pPr>
            <w:r>
              <w:rPr>
                <w:rFonts w:hint="default" w:ascii="Times New Roman" w:hAnsi="Times New Roman" w:eastAsia="黑体" w:cs="Times New Roman"/>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教学重点：</w:t>
            </w:r>
            <w:r>
              <w:rPr>
                <w:rFonts w:hint="default" w:ascii="Times New Roman" w:hAnsi="Times New Roman" w:eastAsia="宋体" w:cs="Times New Roman"/>
                <w:color w:val="000000" w:themeColor="text1"/>
                <w:szCs w:val="21"/>
                <w14:textFill>
                  <w14:solidFill>
                    <w14:schemeClr w14:val="tx1"/>
                  </w14:solidFill>
                </w14:textFill>
              </w:rPr>
              <w:t>理解数控车床的工作原理，掌握常用轴类零件的数控加工工艺；</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教学难点：</w:t>
            </w:r>
            <w:r>
              <w:rPr>
                <w:rFonts w:hint="default" w:ascii="Times New Roman" w:hAnsi="Times New Roman" w:eastAsia="宋体" w:cs="Times New Roman"/>
                <w:color w:val="000000" w:themeColor="text1"/>
                <w:szCs w:val="21"/>
                <w14:textFill>
                  <w14:solidFill>
                    <w14:schemeClr w14:val="tx1"/>
                  </w14:solidFill>
                </w14:textFill>
              </w:rPr>
              <w:t>学会应用FANUC 0i系统数控机床仿真软件进行轴类零件的编程和加工。</w:t>
            </w:r>
          </w:p>
          <w:p>
            <w:pPr>
              <w:spacing w:line="320" w:lineRule="exact"/>
              <w:jc w:val="left"/>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1.1了解数控车床的工作原理、数控车削基础知识及安全教育；</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1.2掌握FANUC 0i系统数控车床粗加工循环指令和精加工循环指令的基本运用；</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1.3掌握FANUC 0i系统数控车床仿真软件的程序编写、程序导入和调试方法；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1.4掌握FANUC 0i系统数控车床仿真软件的程序轨迹模拟和轴类零件模拟加工；</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1.5掌握常用轴类零件的数控车削加工工艺；</w:t>
            </w:r>
          </w:p>
          <w:p>
            <w:pPr>
              <w:spacing w:line="320" w:lineRule="exact"/>
              <w:jc w:val="left"/>
              <w:rPr>
                <w:rFonts w:hint="default" w:ascii="Times New Roman" w:hAnsi="Times New Roman" w:eastAsia="宋体" w:cs="Times New Roman"/>
                <w:szCs w:val="21"/>
              </w:rPr>
            </w:pPr>
            <w:r>
              <w:rPr>
                <w:rFonts w:hint="default" w:ascii="Times New Roman" w:hAnsi="Times New Roman" w:cs="Times New Roman"/>
                <w:b/>
                <w:bCs/>
                <w:color w:val="0070C0"/>
                <w:sz w:val="21"/>
                <w:szCs w:val="21"/>
              </w:rPr>
              <w:t>思政融合点：</w:t>
            </w:r>
            <w:r>
              <w:rPr>
                <w:rFonts w:hint="default" w:ascii="Times New Roman" w:hAnsi="Times New Roman" w:eastAsia="宋体" w:cs="Times New Roman"/>
                <w:color w:val="000000" w:themeColor="text1"/>
                <w14:textFill>
                  <w14:solidFill>
                    <w14:schemeClr w14:val="tx1"/>
                  </w14:solidFill>
                </w14:textFill>
              </w:rPr>
              <w:t>从数控机床对刀操作的应用出发，培养学生严谨的工作态度，树立安全操作意识。同时对学生进行诚信教育，提高责任意识，要求每个学生独立完成对刀操作，通过检查学生记录的数据检测学生是否做到诚信做人。</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实训操作（8课时）</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掌握常用轴类零件的数控加工工艺；理解数控车床的工作原理；了解国内外发展现状及其应用前景。</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default" w:ascii="Times New Roman" w:hAnsi="Times New Roman" w:cs="Times New Roman" w:eastAsiaTheme="minorEastAsia"/>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教学重点：</w:t>
            </w:r>
            <w:r>
              <w:rPr>
                <w:rFonts w:hint="default" w:ascii="Times New Roman" w:hAnsi="Times New Roman" w:eastAsia="宋体" w:cs="Times New Roman"/>
                <w:color w:val="000000" w:themeColor="text1"/>
                <w:szCs w:val="21"/>
                <w14:textFill>
                  <w14:solidFill>
                    <w14:schemeClr w14:val="tx1"/>
                  </w14:solidFill>
                </w14:textFill>
              </w:rPr>
              <w:t>掌握数控车床加工的操作技能和编程方法；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教学难点：</w:t>
            </w:r>
            <w:r>
              <w:rPr>
                <w:rFonts w:hint="default" w:ascii="Times New Roman" w:hAnsi="Times New Roman" w:eastAsia="宋体" w:cs="Times New Roman"/>
                <w:color w:val="000000" w:themeColor="text1"/>
                <w:szCs w:val="21"/>
                <w14:textFill>
                  <w14:solidFill>
                    <w14:schemeClr w14:val="tx1"/>
                  </w14:solidFill>
                </w14:textFill>
              </w:rPr>
              <w:t>阶梯轴零件中包含台阶、直线、圆弧、锥面的数控车削加工技术和操作技能。</w:t>
            </w:r>
          </w:p>
          <w:p>
            <w:pPr>
              <w:spacing w:line="320" w:lineRule="exact"/>
              <w:jc w:val="left"/>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2.1掌握FANUC 0i系统数控车床的面板操作以及手动控制运行的方法；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2.2掌握FANUC 0i系统数控车床的对刀方法以及基本功能参数的设置；</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2.3掌握FANUC 0i系统数控车床程序的输入方法以及程序的调试方法；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2.4掌握FANUC 0i系统数控车床车削常用轴类零件的加工过程；</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2.5掌握正确使用游标卡尺和千分尺的测量方法及数控车床的维护保养；</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eastAsia="宋体" w:cs="Times New Roman"/>
                <w:color w:val="000000" w:themeColor="text1"/>
                <w14:textFill>
                  <w14:solidFill>
                    <w14:schemeClr w14:val="tx1"/>
                  </w14:solidFill>
                </w14:textFill>
              </w:rPr>
              <w:t>从阶梯轴零件的数控加工出发，培养学生安全、环保、质量以及经济意识，培养学生关注细节以及严谨的工作作风。</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实训操作（8课时）</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掌握数控车床加工的操作技能和编程方法；掌握阶梯轴零件中台阶、直线、圆弧、锥面的数控车削加工技术和操作技能。</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3</w:t>
            </w:r>
          </w:p>
        </w:tc>
        <w:tc>
          <w:tcPr>
            <w:tcW w:w="28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教学重点：</w:t>
            </w:r>
            <w:r>
              <w:rPr>
                <w:rFonts w:hint="default" w:ascii="Times New Roman" w:hAnsi="Times New Roman" w:eastAsia="宋体" w:cs="Times New Roman"/>
                <w:color w:val="000000" w:themeColor="text1"/>
                <w:szCs w:val="21"/>
                <w14:textFill>
                  <w14:solidFill>
                    <w14:schemeClr w14:val="tx1"/>
                  </w14:solidFill>
                </w14:textFill>
              </w:rPr>
              <w:t>理解数控铣床的工作原理，掌握常用盘类零件的数控加工工艺；</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教学难点：</w:t>
            </w:r>
            <w:r>
              <w:rPr>
                <w:rFonts w:hint="default" w:ascii="Times New Roman" w:hAnsi="Times New Roman" w:eastAsia="宋体" w:cs="Times New Roman"/>
                <w:color w:val="000000" w:themeColor="text1"/>
                <w:szCs w:val="21"/>
                <w14:textFill>
                  <w14:solidFill>
                    <w14:schemeClr w14:val="tx1"/>
                  </w14:solidFill>
                </w14:textFill>
              </w:rPr>
              <w:t>学会应用FANUC 0i系统数控机床仿真软件进行盘类零件的编程和加工。</w:t>
            </w:r>
          </w:p>
          <w:p>
            <w:pP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3.1了解数控铣床的工作原理、数控铣削基础知识及安全教育；</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3.2掌握FANUC 0i系统数控铣床刀具半径补偿指令的基本运用；</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3.3掌握FANUC 0i系统数控铣床仿真软件的程序编写、程序导入和调试方法；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3.4掌握FANUC 0i系统数控铣床仿真软件的程序轨迹模拟和盘类零件模拟加工；</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3.5掌握常用盘类零件的数控铣削加工工艺；</w:t>
            </w:r>
          </w:p>
          <w:p>
            <w:pPr>
              <w:rPr>
                <w:rFonts w:hint="default" w:ascii="Times New Roman" w:hAnsi="Times New Roman" w:eastAsia="宋体" w:cs="Times New Roman"/>
              </w:rPr>
            </w:pPr>
            <w:r>
              <w:rPr>
                <w:rFonts w:hint="default" w:ascii="Times New Roman" w:hAnsi="Times New Roman" w:cs="Times New Roman"/>
                <w:b/>
                <w:bCs/>
                <w:color w:val="0070C0"/>
                <w:sz w:val="21"/>
                <w:szCs w:val="21"/>
              </w:rPr>
              <w:t>思政融合点：</w:t>
            </w:r>
            <w:r>
              <w:rPr>
                <w:rFonts w:hint="default" w:ascii="Times New Roman" w:hAnsi="Times New Roman" w:eastAsia="宋体" w:cs="Times New Roman"/>
              </w:rPr>
              <w:t>通过在课程中将大国工匠典型素材融入课堂，让学生明确他们肩上担负着富国、强国的伟大使命。</w:t>
            </w:r>
          </w:p>
          <w:p>
            <w:pPr>
              <w:rPr>
                <w:rFonts w:hint="default" w:ascii="Times New Roman" w:hAnsi="Times New Roman" w:eastAsia="宋体" w:cs="Times New Roman"/>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实训操作（8课时）</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理解数控铣床的工作原理；掌握常用盘类零件的数控加工工艺；</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教学重点：</w:t>
            </w:r>
            <w:r>
              <w:rPr>
                <w:rFonts w:hint="default" w:ascii="Times New Roman" w:hAnsi="Times New Roman" w:eastAsia="宋体" w:cs="Times New Roman"/>
                <w:color w:val="000000" w:themeColor="text1"/>
                <w:szCs w:val="21"/>
                <w14:textFill>
                  <w14:solidFill>
                    <w14:schemeClr w14:val="tx1"/>
                  </w14:solidFill>
                </w14:textFill>
              </w:rPr>
              <w:t>掌握数控铣床加工的操作技能和编程方法；</w:t>
            </w:r>
          </w:p>
          <w:p>
            <w:pPr>
              <w:spacing w:line="320" w:lineRule="exac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教学难点：</w:t>
            </w:r>
            <w:r>
              <w:rPr>
                <w:rFonts w:hint="default" w:ascii="Times New Roman" w:hAnsi="Times New Roman" w:eastAsia="宋体" w:cs="Times New Roman"/>
                <w:color w:val="000000" w:themeColor="text1"/>
                <w:szCs w:val="21"/>
                <w14:textFill>
                  <w14:solidFill>
                    <w14:schemeClr w14:val="tx1"/>
                  </w14:solidFill>
                </w14:textFill>
              </w:rPr>
              <w:t>盘类零件中包含台阶、腔槽、平面轮廓、盲孔的数控铣削加工技术和操作技能。</w:t>
            </w:r>
          </w:p>
          <w:p>
            <w:pPr>
              <w:rPr>
                <w:rFonts w:hint="default" w:ascii="Times New Roman" w:hAnsi="Times New Roman" w:eastAsia="宋体" w:cs="Times New Roman"/>
                <w:b/>
                <w:bCs/>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教学内容：</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4.1掌握FANUC 0i系统数控铣床的面板操作以及手动控制运行的方法；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4.2掌握FANUC 0i系统数控铣床的对刀方法以及基本功能参数的设置；</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4.3掌握FANUC 0i系统数控铣床程序的输入方法以及程序的调试方法；</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4.4掌握FANUC 0i系统数控铣床铣削常用盘类零件的加工过程；</w:t>
            </w:r>
          </w:p>
          <w:p>
            <w:pPr>
              <w:spacing w:line="320" w:lineRule="exact"/>
              <w:jc w:val="left"/>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4.5掌握正确使用游标卡尺的测量方法及数控铣床的维护保养；</w:t>
            </w:r>
          </w:p>
          <w:p>
            <w:pP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cs="Times New Roman"/>
                <w:b/>
                <w:bCs/>
                <w:color w:val="0070C0"/>
                <w:sz w:val="21"/>
                <w:szCs w:val="21"/>
              </w:rPr>
              <w:t>思政融合点：</w:t>
            </w:r>
            <w:r>
              <w:rPr>
                <w:rFonts w:hint="default" w:ascii="Times New Roman" w:hAnsi="Times New Roman" w:eastAsia="宋体" w:cs="Times New Roman"/>
                <w:color w:val="000000" w:themeColor="text1"/>
                <w14:textFill>
                  <w14:solidFill>
                    <w14:schemeClr w14:val="tx1"/>
                  </w14:solidFill>
                </w14:textFill>
              </w:rPr>
              <w:t>从被加工零件的测量应用出发，培养学生一丝不苟、精益求精的工匠精神以及团结协作的团队精神。要求学生将零件的直径尺寸加工到中间值，并且精确到小数点后三位，培养学生精益求精的工匠精神。</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szCs w:val="20"/>
              </w:rPr>
              <w:t>实训操作（8课时）</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cs="Times New Roman" w:eastAsiaTheme="minorEastAsia"/>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掌握数控铣床加工的操作技能和编程方法；掌握盘类零件中台阶、腔槽、平面轮廓、盲孔的数控铣削加工技术和操作技能。</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cs="Times New Roman" w:eastAsiaTheme="minorEastAsia"/>
                <w:color w:val="000000" w:themeColor="text1"/>
                <w:szCs w:val="21"/>
                <w:lang w:eastAsia="zh-CN"/>
                <w14:textFill>
                  <w14:solidFill>
                    <w14:schemeClr w14:val="tx1"/>
                  </w14:solidFill>
                </w14:textFill>
              </w:rPr>
            </w:pPr>
            <w:r>
              <w:rPr>
                <w:rFonts w:hint="default" w:ascii="Times New Roman" w:hAnsi="Times New Roman" w:cs="Times New Roman" w:eastAsiaTheme="minorEastAsia"/>
                <w:color w:val="000000" w:themeColor="text1"/>
                <w:szCs w:val="21"/>
                <w14:textFill>
                  <w14:solidFill>
                    <w14:schemeClr w14:val="tx1"/>
                  </w14:solidFill>
                </w14:textFill>
              </w:rPr>
              <w:t>课程目标</w:t>
            </w:r>
            <w:r>
              <w:rPr>
                <w:rFonts w:hint="eastAsia" w:ascii="Times New Roman" w:hAnsi="Times New Roman" w:cs="Times New Roman" w:eastAsiaTheme="minorEastAsia"/>
                <w:color w:val="000000" w:themeColor="text1"/>
                <w:szCs w:val="21"/>
                <w:lang w:val="en-US" w:eastAsia="zh-CN"/>
                <w14:textFill>
                  <w14:solidFill>
                    <w14:schemeClr w14:val="tx1"/>
                  </w14:solidFill>
                </w14:textFill>
              </w:rPr>
              <w:t>2</w:t>
            </w:r>
          </w:p>
        </w:tc>
      </w:tr>
    </w:tbl>
    <w:p>
      <w:pPr>
        <w:widowControl/>
        <w:snapToGrid w:val="0"/>
        <w:spacing w:line="360" w:lineRule="auto"/>
        <w:jc w:val="left"/>
        <w:rPr>
          <w:rFonts w:hint="eastAsia" w:ascii="Times New Roman" w:hAnsi="Times New Roman" w:eastAsia="黑体"/>
          <w:sz w:val="24"/>
        </w:rPr>
      </w:pPr>
    </w:p>
    <w:p>
      <w:pPr>
        <w:widowControl/>
        <w:snapToGrid w:val="0"/>
        <w:spacing w:line="360" w:lineRule="auto"/>
        <w:jc w:val="left"/>
        <w:rPr>
          <w:rFonts w:ascii="Times New Roman" w:hAnsi="Times New Roman"/>
          <w:b/>
          <w:bCs/>
          <w:sz w:val="22"/>
        </w:rPr>
      </w:pPr>
      <w:r>
        <w:rPr>
          <w:rFonts w:hint="eastAsia" w:ascii="Times New Roman" w:hAnsi="Times New Roman" w:eastAsia="黑体"/>
          <w:sz w:val="24"/>
        </w:rPr>
        <w:t>五</w:t>
      </w:r>
      <w:r>
        <w:rPr>
          <w:rFonts w:ascii="Times New Roman" w:hAnsi="Times New Roman" w:eastAsia="黑体"/>
          <w:sz w:val="24"/>
        </w:rPr>
        <w:t>、课程考核</w:t>
      </w:r>
    </w:p>
    <w:tbl>
      <w:tblPr>
        <w:tblStyle w:val="9"/>
        <w:tblW w:w="6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8"/>
        <w:gridCol w:w="1417"/>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278" w:type="dxa"/>
            <w:vMerge w:val="restart"/>
            <w:tcBorders>
              <w:top w:val="single" w:color="auto" w:sz="4" w:space="0"/>
              <w:left w:val="single" w:color="auto" w:sz="4" w:space="0"/>
              <w:right w:val="single" w:color="auto" w:sz="4" w:space="0"/>
            </w:tcBorders>
            <w:shd w:val="clear" w:color="auto" w:fill="EEECE1"/>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课程目标</w:t>
            </w:r>
          </w:p>
        </w:tc>
        <w:tc>
          <w:tcPr>
            <w:tcW w:w="2977" w:type="dxa"/>
            <w:gridSpan w:val="2"/>
            <w:tcBorders>
              <w:top w:val="single" w:color="auto" w:sz="4" w:space="0"/>
              <w:left w:val="single" w:color="auto" w:sz="4" w:space="0"/>
              <w:right w:val="single" w:color="auto" w:sz="4" w:space="0"/>
            </w:tcBorders>
            <w:shd w:val="clear" w:color="auto" w:fill="EEECE1"/>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评价依据及成绩比例(%)</w:t>
            </w:r>
          </w:p>
        </w:tc>
        <w:tc>
          <w:tcPr>
            <w:tcW w:w="1701" w:type="dxa"/>
            <w:vMerge w:val="restart"/>
            <w:tcBorders>
              <w:top w:val="single" w:color="auto" w:sz="4" w:space="0"/>
              <w:left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46"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p>
        </w:tc>
        <w:tc>
          <w:tcPr>
            <w:tcW w:w="1278" w:type="dxa"/>
            <w:vMerge w:val="continue"/>
            <w:tcBorders>
              <w:left w:val="single" w:color="auto" w:sz="4" w:space="0"/>
              <w:bottom w:val="single" w:color="auto" w:sz="4" w:space="0"/>
              <w:right w:val="single" w:color="auto" w:sz="4" w:space="0"/>
            </w:tcBorders>
            <w:shd w:val="clear" w:color="auto" w:fill="EEECE1"/>
            <w:vAlign w:val="center"/>
          </w:tcPr>
          <w:p>
            <w:pPr>
              <w:spacing w:line="320" w:lineRule="exact"/>
              <w:jc w:val="center"/>
              <w:rPr>
                <w:rFonts w:hint="default" w:ascii="Times New Roman" w:hAnsi="Times New Roman" w:eastAsia="黑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eastAsia" w:ascii="黑体" w:hAnsi="黑体" w:eastAsia="黑体" w:cs="黑体"/>
                <w:szCs w:val="21"/>
              </w:rPr>
            </w:pPr>
            <w:r>
              <w:rPr>
                <w:rFonts w:hint="eastAsia" w:ascii="黑体" w:hAnsi="黑体" w:eastAsia="黑体" w:cs="黑体"/>
                <w:color w:val="000000" w:themeColor="text1"/>
                <w14:textFill>
                  <w14:solidFill>
                    <w14:schemeClr w14:val="tx1"/>
                  </w14:solidFill>
                </w14:textFill>
              </w:rPr>
              <w:t>操作实践</w:t>
            </w:r>
          </w:p>
          <w:p>
            <w:pPr>
              <w:spacing w:line="320" w:lineRule="exact"/>
              <w:jc w:val="center"/>
              <w:rPr>
                <w:rFonts w:hint="default" w:ascii="Times New Roman" w:hAnsi="Times New Roman" w:eastAsia="黑体" w:cs="Times New Roman"/>
                <w:szCs w:val="21"/>
              </w:rPr>
            </w:pPr>
            <w:r>
              <w:rPr>
                <w:rFonts w:hint="eastAsia" w:ascii="黑体" w:hAnsi="黑体" w:eastAsia="黑体" w:cs="黑体"/>
                <w:szCs w:val="21"/>
                <w:lang w:val="en-US" w:eastAsia="zh-CN"/>
              </w:rPr>
              <w:t>8</w:t>
            </w:r>
            <w:r>
              <w:rPr>
                <w:rFonts w:hint="eastAsia" w:ascii="黑体" w:hAnsi="黑体" w:eastAsia="黑体" w:cs="黑体"/>
                <w:szCs w:val="21"/>
              </w:rPr>
              <w:t>0%</w:t>
            </w:r>
          </w:p>
        </w:tc>
        <w:tc>
          <w:tcPr>
            <w:tcW w:w="1560" w:type="dxa"/>
            <w:tcBorders>
              <w:left w:val="single" w:color="auto" w:sz="4" w:space="0"/>
              <w:bottom w:val="single" w:color="auto" w:sz="4" w:space="0"/>
              <w:right w:val="single" w:color="auto" w:sz="4" w:space="0"/>
            </w:tcBorders>
            <w:shd w:val="clear" w:color="auto" w:fill="EEECE1" w:themeFill="background2"/>
            <w:vAlign w:val="top"/>
          </w:tcPr>
          <w:p>
            <w:pPr>
              <w:spacing w:line="320" w:lineRule="exact"/>
              <w:jc w:val="center"/>
              <w:rPr>
                <w:rFonts w:hint="eastAsia" w:ascii="黑体" w:hAnsi="黑体" w:eastAsia="黑体" w:cs="黑体"/>
                <w:szCs w:val="21"/>
                <w:lang w:val="en-US" w:eastAsia="zh-CN"/>
              </w:rPr>
            </w:pPr>
            <w:r>
              <w:rPr>
                <w:rFonts w:hint="eastAsia" w:ascii="黑体" w:hAnsi="黑体" w:eastAsia="黑体" w:cs="黑体"/>
                <w:szCs w:val="21"/>
                <w:lang w:val="en-US" w:eastAsia="zh-CN"/>
              </w:rPr>
              <w:t>实习报告</w:t>
            </w:r>
          </w:p>
          <w:p>
            <w:pPr>
              <w:spacing w:line="320" w:lineRule="exact"/>
              <w:jc w:val="center"/>
              <w:rPr>
                <w:rFonts w:hint="default" w:ascii="Times New Roman" w:hAnsi="Times New Roman" w:eastAsia="黑体" w:cs="Times New Roman"/>
                <w:szCs w:val="21"/>
              </w:rPr>
            </w:pPr>
            <w:r>
              <w:rPr>
                <w:rFonts w:hint="eastAsia" w:ascii="黑体" w:hAnsi="黑体" w:eastAsia="黑体" w:cs="黑体"/>
                <w:szCs w:val="21"/>
                <w:lang w:val="en-US" w:eastAsia="zh-CN"/>
              </w:rPr>
              <w:t>2</w:t>
            </w:r>
            <w:r>
              <w:rPr>
                <w:rFonts w:hint="eastAsia" w:ascii="黑体" w:hAnsi="黑体" w:eastAsia="黑体" w:cs="黑体"/>
                <w:szCs w:val="21"/>
              </w:rPr>
              <w:t>0%</w:t>
            </w:r>
          </w:p>
        </w:tc>
        <w:tc>
          <w:tcPr>
            <w:tcW w:w="1701" w:type="dxa"/>
            <w:vMerge w:val="continue"/>
            <w:tcBorders>
              <w:left w:val="single" w:color="auto" w:sz="4" w:space="0"/>
              <w:bottom w:val="single" w:color="auto" w:sz="4" w:space="0"/>
              <w:right w:val="single" w:color="auto" w:sz="4" w:space="0"/>
            </w:tcBorders>
            <w:shd w:val="clear" w:color="auto" w:fill="EEECE1" w:themeFill="background2"/>
            <w:vAlign w:val="center"/>
          </w:tcPr>
          <w:p>
            <w:pPr>
              <w:spacing w:line="320" w:lineRule="exact"/>
              <w:jc w:val="cente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szCs w:val="21"/>
              </w:rPr>
            </w:pPr>
            <w:r>
              <w:rPr>
                <w:rFonts w:hint="eastAsia" w:hAnsi="宋体"/>
                <w:kern w:val="0"/>
                <w:sz w:val="21"/>
                <w:szCs w:val="21"/>
              </w:rPr>
              <w:t>课程</w:t>
            </w:r>
            <w:r>
              <w:rPr>
                <w:rFonts w:hAnsi="宋体"/>
                <w:kern w:val="0"/>
                <w:sz w:val="21"/>
                <w:szCs w:val="21"/>
              </w:rPr>
              <w:t>目标</w:t>
            </w:r>
            <w:r>
              <w:rPr>
                <w:kern w:val="0"/>
                <w:sz w:val="21"/>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40</w:t>
            </w:r>
            <w:r>
              <w:rPr>
                <w:rFonts w:hint="default" w:ascii="Times New Roman" w:hAnsi="Times New Roman" w:cs="Times New Roman" w:eastAsiaTheme="minor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szCs w:val="21"/>
              </w:rPr>
            </w:pPr>
            <w:r>
              <w:rPr>
                <w:rFonts w:hint="eastAsia" w:hAnsi="宋体"/>
                <w:kern w:val="0"/>
                <w:sz w:val="21"/>
                <w:szCs w:val="21"/>
              </w:rPr>
              <w:t>课程</w:t>
            </w:r>
            <w:r>
              <w:rPr>
                <w:rFonts w:hAnsi="宋体"/>
                <w:kern w:val="0"/>
                <w:sz w:val="21"/>
                <w:szCs w:val="21"/>
              </w:rPr>
              <w:t>目标</w:t>
            </w:r>
            <w:r>
              <w:rPr>
                <w:rFonts w:hint="eastAsia" w:hAnsi="宋体"/>
                <w:kern w:val="0"/>
                <w:sz w:val="21"/>
                <w:szCs w:val="21"/>
                <w:lang w:val="en-US" w:eastAsia="zh-CN"/>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40</w:t>
            </w:r>
            <w:r>
              <w:rPr>
                <w:rFonts w:hint="default" w:ascii="Times New Roman" w:hAnsi="Times New Roman" w:cs="Times New Roman" w:eastAsiaTheme="minorEastAsia"/>
              </w:rPr>
              <w:t>%</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eastAsiaTheme="minorEastAsia"/>
                <w:lang w:val="en-US" w:eastAsia="zh-CN"/>
              </w:rPr>
              <w:t>10</w:t>
            </w:r>
            <w:r>
              <w:rPr>
                <w:rFonts w:hint="default" w:ascii="Times New Roman" w:hAnsi="Times New Roman" w:cs="Times New Roman" w:eastAsiaTheme="minorEastAsia"/>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12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b/>
                <w:bCs/>
              </w:rPr>
            </w:pPr>
            <w:r>
              <w:rPr>
                <w:rFonts w:hint="eastAsia" w:ascii="Times New Roman" w:hAnsi="Times New Roman" w:cs="Times New Roman" w:eastAsiaTheme="minorEastAsia"/>
                <w:b/>
                <w:bCs/>
                <w:lang w:val="en-US" w:eastAsia="zh-CN"/>
              </w:rPr>
              <w:t>80</w:t>
            </w:r>
            <w:r>
              <w:rPr>
                <w:rFonts w:hint="default" w:ascii="Times New Roman" w:hAnsi="Times New Roman" w:cs="Times New Roman" w:eastAsiaTheme="minorEastAsia"/>
                <w:b/>
                <w:bCs/>
              </w:rPr>
              <w:t>%</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11" w:firstLineChars="100"/>
              <w:jc w:val="center"/>
              <w:rPr>
                <w:rFonts w:hint="default" w:ascii="Times New Roman" w:hAnsi="Times New Roman" w:cs="Times New Roman" w:eastAsiaTheme="minorEastAsia"/>
                <w:b/>
                <w:bCs/>
              </w:rPr>
            </w:pPr>
            <w:r>
              <w:rPr>
                <w:rFonts w:hint="eastAsia" w:ascii="Times New Roman" w:hAnsi="Times New Roman" w:cs="Times New Roman" w:eastAsiaTheme="minorEastAsia"/>
                <w:b/>
                <w:bCs/>
                <w:lang w:val="en-US" w:eastAsia="zh-CN"/>
              </w:rPr>
              <w:t>20</w:t>
            </w:r>
            <w:r>
              <w:rPr>
                <w:rFonts w:hint="default" w:ascii="Times New Roman" w:hAnsi="Times New Roman" w:cs="Times New Roman" w:eastAsiaTheme="minorEastAsia"/>
                <w:b/>
                <w:bCs/>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eastAsiaTheme="minorEastAsia"/>
                <w:b/>
                <w:bCs/>
              </w:rPr>
            </w:pPr>
            <w:r>
              <w:rPr>
                <w:rFonts w:hint="default" w:ascii="Times New Roman" w:hAnsi="Times New Roman" w:cs="Times New Roman" w:eastAsiaTheme="minorEastAsia"/>
                <w:b/>
                <w:bCs/>
              </w:rPr>
              <w:t>100%</w:t>
            </w:r>
          </w:p>
        </w:tc>
      </w:tr>
    </w:tbl>
    <w:p>
      <w:pPr>
        <w:widowControl/>
        <w:snapToGrid w:val="0"/>
        <w:spacing w:line="360" w:lineRule="auto"/>
        <w:jc w:val="left"/>
        <w:rPr>
          <w:rFonts w:hint="eastAsia" w:ascii="Times New Roman" w:hAnsi="Times New Roman" w:eastAsia="黑体"/>
          <w:sz w:val="24"/>
        </w:rPr>
      </w:pPr>
    </w:p>
    <w:p>
      <w:pPr>
        <w:widowControl/>
        <w:snapToGrid w:val="0"/>
        <w:spacing w:line="360" w:lineRule="auto"/>
        <w:jc w:val="left"/>
        <w:rPr>
          <w:rFonts w:ascii="Times New Roman" w:hAnsi="Times New Roman"/>
          <w:sz w:val="28"/>
          <w:szCs w:val="28"/>
        </w:rPr>
      </w:pPr>
      <w:r>
        <w:rPr>
          <w:rFonts w:hint="eastAsia" w:ascii="Times New Roman" w:hAnsi="Times New Roman" w:eastAsia="黑体"/>
          <w:sz w:val="24"/>
        </w:rPr>
        <w:t>六</w:t>
      </w:r>
      <w:r>
        <w:rPr>
          <w:rFonts w:ascii="Times New Roman" w:hAnsi="Times New Roman" w:eastAsia="黑体"/>
          <w:sz w:val="24"/>
        </w:rPr>
        <w:t>、教材及参考资料</w:t>
      </w:r>
    </w:p>
    <w:p>
      <w:pPr>
        <w:snapToGrid w:val="0"/>
        <w:spacing w:line="400" w:lineRule="exact"/>
        <w:rPr>
          <w:rFonts w:ascii="宋体" w:hAnsi="宋体"/>
          <w:b/>
          <w:spacing w:val="-12"/>
          <w:kern w:val="0"/>
          <w:sz w:val="24"/>
        </w:rPr>
      </w:pPr>
      <w:r>
        <w:rPr>
          <w:rFonts w:hint="eastAsia" w:ascii="宋体" w:hAnsi="宋体" w:cs="宋体"/>
          <w:b/>
          <w:bCs/>
          <w:color w:val="000000"/>
          <w:spacing w:val="-12"/>
          <w:kern w:val="0"/>
          <w:sz w:val="24"/>
        </w:rPr>
        <w:t>(一)课程教材</w:t>
      </w:r>
    </w:p>
    <w:p>
      <w:pPr>
        <w:snapToGrid w:val="0"/>
        <w:spacing w:line="400" w:lineRule="exact"/>
        <w:rPr>
          <w:rFonts w:hint="eastAsia" w:ascii="宋体" w:hAnsi="宋体" w:cs="宋体"/>
          <w:b/>
          <w:bCs/>
          <w:color w:val="000000"/>
          <w:spacing w:val="-12"/>
          <w:kern w:val="0"/>
          <w:sz w:val="24"/>
        </w:rPr>
      </w:pPr>
      <w:r>
        <w:rPr>
          <w:rFonts w:hint="eastAsia" w:ascii="宋体" w:hAnsi="宋体" w:eastAsia="宋体" w:cs="宋体"/>
        </w:rPr>
        <w:t>工科基本训练（</w:t>
      </w:r>
      <w:r>
        <w:rPr>
          <w:rFonts w:hint="eastAsia" w:ascii="宋体" w:hAnsi="宋体" w:cs="宋体"/>
          <w:lang w:eastAsia="zh-CN"/>
        </w:rPr>
        <w:t>数控</w:t>
      </w:r>
      <w:r>
        <w:rPr>
          <w:rFonts w:hint="eastAsia" w:ascii="宋体" w:hAnsi="宋体" w:eastAsia="宋体" w:cs="宋体"/>
        </w:rPr>
        <w:t>加工）讲义</w:t>
      </w:r>
    </w:p>
    <w:p>
      <w:pPr>
        <w:rPr>
          <w:rFonts w:asciiTheme="minorEastAsia" w:hAnsiTheme="minorEastAsia" w:eastAsiaTheme="minorEastAsia"/>
          <w:iCs/>
          <w:szCs w:val="21"/>
        </w:rPr>
      </w:pPr>
    </w:p>
    <w:p>
      <w:pPr>
        <w:snapToGrid w:val="0"/>
        <w:spacing w:line="400" w:lineRule="exact"/>
        <w:rPr>
          <w:rFonts w:ascii="宋体" w:hAnsi="宋体" w:cs="宋体"/>
          <w:b/>
          <w:bCs/>
          <w:color w:val="000000"/>
          <w:spacing w:val="-12"/>
          <w:kern w:val="0"/>
          <w:sz w:val="24"/>
        </w:rPr>
      </w:pPr>
      <w:r>
        <w:rPr>
          <w:rFonts w:hint="eastAsia" w:ascii="宋体" w:hAnsi="宋体" w:cs="宋体"/>
          <w:b/>
          <w:bCs/>
          <w:color w:val="000000"/>
          <w:spacing w:val="-12"/>
          <w:kern w:val="0"/>
          <w:sz w:val="24"/>
        </w:rPr>
        <w:t>(二)参考教材及网站</w:t>
      </w:r>
    </w:p>
    <w:p>
      <w:pPr>
        <w:spacing w:line="400" w:lineRule="exac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szCs w:val="21"/>
        </w:rPr>
        <w:t>《机械制造实训教程》，</w:t>
      </w:r>
      <w:r>
        <w:rPr>
          <w:rFonts w:hint="eastAsia" w:ascii="宋体" w:hAnsi="宋体" w:eastAsia="宋体" w:cs="宋体"/>
        </w:rPr>
        <w:fldChar w:fldCharType="begin"/>
      </w:r>
      <w:r>
        <w:rPr>
          <w:rFonts w:hint="eastAsia" w:ascii="宋体" w:hAnsi="宋体" w:eastAsia="宋体" w:cs="宋体"/>
        </w:rPr>
        <w:instrText xml:space="preserve"> HYPERLINK "http://search.dangdang.com/?key2=%B3%CC%C1%C1&amp;medium=01&amp;category_path=01.00.00.00.00.00" \t "http://product.dangdang.com/_blank" </w:instrText>
      </w:r>
      <w:r>
        <w:rPr>
          <w:rFonts w:hint="eastAsia" w:ascii="宋体" w:hAnsi="宋体" w:eastAsia="宋体" w:cs="宋体"/>
        </w:rPr>
        <w:fldChar w:fldCharType="separate"/>
      </w:r>
      <w:r>
        <w:rPr>
          <w:rFonts w:hint="eastAsia" w:ascii="宋体" w:hAnsi="宋体" w:eastAsia="宋体" w:cs="宋体"/>
          <w:szCs w:val="21"/>
        </w:rPr>
        <w:t>程亮</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eastAsia="宋体" w:cs="宋体"/>
        </w:rPr>
        <w:fldChar w:fldCharType="begin"/>
      </w:r>
      <w:r>
        <w:rPr>
          <w:rFonts w:hint="eastAsia" w:ascii="宋体" w:hAnsi="宋体" w:eastAsia="宋体" w:cs="宋体"/>
        </w:rPr>
        <w:instrText xml:space="preserve"> HYPERLINK "http://search.dangdang.com/?key2=%D2%FC%CE%C4%B7%E6&amp;medium=01&amp;category_path=01.00.00.00.00.00" \t "http://product.dangdang.com/_blank" </w:instrText>
      </w:r>
      <w:r>
        <w:rPr>
          <w:rFonts w:hint="eastAsia" w:ascii="宋体" w:hAnsi="宋体" w:eastAsia="宋体" w:cs="宋体"/>
        </w:rPr>
        <w:fldChar w:fldCharType="separate"/>
      </w:r>
      <w:r>
        <w:rPr>
          <w:rFonts w:hint="eastAsia" w:ascii="宋体" w:hAnsi="宋体" w:eastAsia="宋体" w:cs="宋体"/>
          <w:szCs w:val="21"/>
        </w:rPr>
        <w:t>尹文锋</w:t>
      </w:r>
      <w:r>
        <w:rPr>
          <w:rFonts w:hint="eastAsia" w:ascii="宋体" w:hAnsi="宋体" w:eastAsia="宋体" w:cs="宋体"/>
          <w:szCs w:val="21"/>
        </w:rPr>
        <w:fldChar w:fldCharType="end"/>
      </w:r>
      <w:r>
        <w:rPr>
          <w:rFonts w:hint="eastAsia" w:ascii="宋体" w:hAnsi="宋体" w:eastAsia="宋体" w:cs="宋体"/>
          <w:szCs w:val="21"/>
        </w:rPr>
        <w:t>主编，化学工业出版社，2021.10</w:t>
      </w:r>
    </w:p>
    <w:p>
      <w:pPr>
        <w:spacing w:line="40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《机械工程技术基础实习》，范辉主编，机械工业出版社，2007.09</w:t>
      </w:r>
    </w:p>
    <w:p>
      <w:pPr>
        <w:spacing w:line="400" w:lineRule="exact"/>
        <w:rPr>
          <w:rFonts w:hint="eastAsia" w:ascii="宋体" w:hAnsi="宋体" w:eastAsia="宋体" w:cs="宋体"/>
        </w:rPr>
      </w:pPr>
    </w:p>
    <w:p>
      <w:pPr>
        <w:spacing w:line="400" w:lineRule="exact"/>
        <w:rPr>
          <w:rFonts w:hint="eastAsia" w:ascii="宋体" w:hAnsi="宋体" w:eastAsia="宋体" w:cs="宋体"/>
          <w:szCs w:val="21"/>
        </w:rPr>
      </w:pPr>
      <w:r>
        <w:rPr>
          <w:rFonts w:hint="eastAsia" w:ascii="宋体" w:hAnsi="宋体" w:eastAsia="宋体" w:cs="宋体"/>
        </w:rPr>
        <w:t>编写人：</w:t>
      </w:r>
      <w:r>
        <w:rPr>
          <w:rFonts w:hint="eastAsia" w:ascii="宋体" w:hAnsi="宋体" w:eastAsia="宋体" w:cs="宋体"/>
          <w:u w:val="single"/>
        </w:rPr>
        <w:t xml:space="preserve"> </w:t>
      </w:r>
      <w:r>
        <w:rPr>
          <w:rFonts w:hint="eastAsia" w:ascii="宋体" w:hAnsi="宋体" w:eastAsia="宋体" w:cs="宋体"/>
          <w:u w:val="single"/>
          <w:lang w:eastAsia="zh-CN"/>
        </w:rPr>
        <w:t>侯国柱</w:t>
      </w:r>
      <w:r>
        <w:rPr>
          <w:rFonts w:hint="eastAsia" w:ascii="宋体" w:hAnsi="宋体" w:eastAsia="宋体" w:cs="宋体"/>
          <w:u w:val="single"/>
        </w:rPr>
        <w:t xml:space="preserve"> </w:t>
      </w:r>
      <w:r>
        <w:rPr>
          <w:rFonts w:hint="eastAsia" w:ascii="宋体" w:hAnsi="宋体" w:eastAsia="宋体" w:cs="宋体"/>
        </w:rPr>
        <w:t xml:space="preserve">  审核人：</w:t>
      </w:r>
      <w:r>
        <w:rPr>
          <w:rFonts w:hint="eastAsia" w:ascii="宋体" w:hAnsi="宋体" w:eastAsia="宋体" w:cs="宋体"/>
          <w:u w:val="single"/>
        </w:rPr>
        <w:t xml:space="preserve"> 余谧  </w:t>
      </w:r>
      <w:r>
        <w:rPr>
          <w:rFonts w:hint="eastAsia" w:ascii="宋体" w:hAnsi="宋体" w:eastAsia="宋体" w:cs="宋体"/>
        </w:rPr>
        <w:t xml:space="preserve">  审批人：</w:t>
      </w:r>
      <w:r>
        <w:rPr>
          <w:rFonts w:hint="eastAsia" w:ascii="宋体" w:hAnsi="宋体" w:eastAsia="宋体" w:cs="宋体"/>
          <w:u w:val="single"/>
        </w:rPr>
        <w:t xml:space="preserve"> 吴斌 </w:t>
      </w:r>
      <w:r>
        <w:rPr>
          <w:rFonts w:hint="eastAsia" w:ascii="宋体" w:hAnsi="宋体" w:eastAsia="宋体" w:cs="宋体"/>
        </w:rPr>
        <w:t>审批日期：</w:t>
      </w:r>
      <w:r>
        <w:rPr>
          <w:rFonts w:hint="eastAsia" w:ascii="宋体" w:hAnsi="宋体" w:eastAsia="宋体" w:cs="宋体"/>
          <w:u w:val="single"/>
        </w:rPr>
        <w:t xml:space="preserve"> 2022年1</w:t>
      </w:r>
      <w:r>
        <w:rPr>
          <w:rFonts w:hint="eastAsia" w:ascii="宋体" w:hAnsi="宋体" w:eastAsia="宋体" w:cs="宋体"/>
          <w:u w:val="single"/>
          <w:lang w:val="en-US" w:eastAsia="zh-CN"/>
        </w:rPr>
        <w:t>0</w:t>
      </w:r>
      <w:r>
        <w:rPr>
          <w:rFonts w:hint="eastAsia" w:ascii="宋体" w:hAnsi="宋体" w:eastAsia="宋体" w:cs="宋体"/>
          <w:u w:val="single"/>
        </w:rPr>
        <w:t>月7日</w:t>
      </w:r>
    </w:p>
    <w:p>
      <w:pPr>
        <w:widowControl/>
        <w:jc w:val="left"/>
        <w:rPr>
          <w:rFonts w:ascii="宋体" w:hAnsi="宋体"/>
          <w:b/>
          <w:bCs/>
          <w:sz w:val="24"/>
        </w:rPr>
      </w:pPr>
    </w:p>
    <w:p>
      <w:pPr>
        <w:widowControl/>
        <w:jc w:val="left"/>
        <w:rPr>
          <w:rFonts w:ascii="宋体" w:hAnsi="宋体"/>
          <w:color w:val="000000" w:themeColor="text1"/>
          <w14:textFill>
            <w14:solidFill>
              <w14:schemeClr w14:val="tx1"/>
            </w14:solidFill>
          </w14:textFill>
        </w:rPr>
      </w:pPr>
      <w:r>
        <w:rPr>
          <w:rFonts w:ascii="宋体" w:hAnsi="宋体"/>
          <w:b/>
          <w:bCs/>
          <w:sz w:val="24"/>
        </w:rPr>
        <w:t>附</w:t>
      </w:r>
      <w:r>
        <w:rPr>
          <w:rFonts w:hint="eastAsia" w:ascii="宋体" w:hAnsi="宋体"/>
          <w:b/>
          <w:bCs/>
          <w:sz w:val="24"/>
        </w:rPr>
        <w:t>件</w:t>
      </w:r>
      <w:r>
        <w:rPr>
          <w:rFonts w:ascii="宋体" w:hAnsi="宋体"/>
          <w:b/>
          <w:bCs/>
          <w:sz w:val="24"/>
        </w:rPr>
        <w:t>：各类考核</w:t>
      </w:r>
      <w:r>
        <w:rPr>
          <w:rFonts w:hint="eastAsia" w:ascii="宋体" w:hAnsi="宋体"/>
          <w:b/>
          <w:bCs/>
          <w:sz w:val="24"/>
        </w:rPr>
        <w:t>与评价</w:t>
      </w:r>
      <w:r>
        <w:rPr>
          <w:rFonts w:ascii="宋体" w:hAnsi="宋体"/>
          <w:b/>
          <w:bCs/>
          <w:sz w:val="24"/>
        </w:rPr>
        <w:t>标准表</w:t>
      </w:r>
    </w:p>
    <w:p>
      <w:pPr>
        <w:jc w:val="center"/>
        <w:rPr>
          <w:rFonts w:ascii="宋体" w:hAnsi="宋体"/>
          <w:sz w:val="24"/>
        </w:rPr>
      </w:pPr>
      <w:r>
        <w:rPr>
          <w:rFonts w:hint="eastAsia" w:ascii="宋体" w:hAnsi="宋体"/>
          <w:b/>
          <w:sz w:val="24"/>
          <w:lang w:eastAsia="zh-CN"/>
        </w:rPr>
        <w:t>一</w:t>
      </w:r>
      <w:r>
        <w:rPr>
          <w:rFonts w:hint="eastAsia" w:ascii="宋体" w:hAnsi="宋体"/>
          <w:b/>
          <w:sz w:val="24"/>
        </w:rPr>
        <w:t>、操作实践考核及</w:t>
      </w:r>
      <w:r>
        <w:rPr>
          <w:rFonts w:ascii="宋体" w:hAnsi="宋体"/>
          <w:b/>
          <w:sz w:val="24"/>
        </w:rPr>
        <w:t>评</w:t>
      </w:r>
      <w:r>
        <w:rPr>
          <w:rFonts w:hint="eastAsia" w:ascii="宋体" w:hAnsi="宋体"/>
          <w:b/>
          <w:sz w:val="24"/>
        </w:rPr>
        <w:t>价</w:t>
      </w:r>
      <w:r>
        <w:rPr>
          <w:rFonts w:ascii="宋体" w:hAnsi="宋体"/>
          <w:b/>
          <w:sz w:val="24"/>
        </w:rPr>
        <w:t>标准</w:t>
      </w:r>
      <w:r>
        <w:rPr>
          <w:rFonts w:hint="eastAsia" w:ascii="宋体" w:hAnsi="宋体"/>
          <w:b/>
          <w:sz w:val="24"/>
        </w:rPr>
        <w:t>示例</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134"/>
        <w:gridCol w:w="992"/>
        <w:gridCol w:w="1134"/>
        <w:gridCol w:w="1276"/>
        <w:gridCol w:w="113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8" w:type="dxa"/>
            <w:vMerge w:val="restart"/>
            <w:tcBorders>
              <w:tl2br w:val="single" w:color="auto" w:sz="4" w:space="0"/>
            </w:tcBorders>
          </w:tcPr>
          <w:p>
            <w:pPr>
              <w:adjustRightInd w:val="0"/>
              <w:snapToGrid w:val="0"/>
              <w:spacing w:line="300" w:lineRule="auto"/>
              <w:rPr>
                <w:rFonts w:ascii="宋体" w:hAnsi="宋体"/>
                <w:b/>
                <w:szCs w:val="21"/>
                <w:shd w:val="clear" w:color="auto" w:fill="FFFFFF"/>
              </w:rPr>
            </w:pPr>
          </w:p>
        </w:tc>
        <w:tc>
          <w:tcPr>
            <w:tcW w:w="992" w:type="dxa"/>
            <w:vMerge w:val="restart"/>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对应课程目标</w:t>
            </w:r>
          </w:p>
        </w:tc>
        <w:tc>
          <w:tcPr>
            <w:tcW w:w="1134"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基本要求</w:t>
            </w:r>
          </w:p>
        </w:tc>
        <w:tc>
          <w:tcPr>
            <w:tcW w:w="4539" w:type="dxa"/>
            <w:gridSpan w:val="4"/>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评价标准</w:t>
            </w:r>
          </w:p>
        </w:tc>
        <w:tc>
          <w:tcPr>
            <w:tcW w:w="706"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l2br w:val="single" w:color="auto" w:sz="4" w:space="0"/>
            </w:tcBorders>
          </w:tcPr>
          <w:p>
            <w:pPr>
              <w:adjustRightInd w:val="0"/>
              <w:snapToGrid w:val="0"/>
              <w:spacing w:line="300" w:lineRule="auto"/>
              <w:jc w:val="center"/>
              <w:rPr>
                <w:rFonts w:ascii="宋体" w:hAnsi="宋体"/>
                <w:b/>
                <w:szCs w:val="21"/>
                <w:shd w:val="clear" w:color="auto" w:fill="FFFFFF"/>
              </w:rPr>
            </w:pPr>
          </w:p>
        </w:tc>
        <w:tc>
          <w:tcPr>
            <w:tcW w:w="992" w:type="dxa"/>
            <w:vMerge w:val="continue"/>
          </w:tcPr>
          <w:p>
            <w:pPr>
              <w:adjustRightInd w:val="0"/>
              <w:snapToGrid w:val="0"/>
              <w:spacing w:line="300" w:lineRule="auto"/>
              <w:jc w:val="center"/>
              <w:rPr>
                <w:rFonts w:ascii="宋体" w:hAnsi="宋体"/>
                <w:szCs w:val="21"/>
                <w:shd w:val="clear" w:color="auto" w:fill="FFFFFF"/>
              </w:rPr>
            </w:pPr>
          </w:p>
        </w:tc>
        <w:tc>
          <w:tcPr>
            <w:tcW w:w="1134" w:type="dxa"/>
            <w:vMerge w:val="continue"/>
          </w:tcPr>
          <w:p>
            <w:pPr>
              <w:adjustRightInd w:val="0"/>
              <w:snapToGrid w:val="0"/>
              <w:spacing w:line="300" w:lineRule="auto"/>
              <w:jc w:val="center"/>
              <w:rPr>
                <w:rFonts w:ascii="宋体" w:hAnsi="宋体"/>
                <w:szCs w:val="21"/>
                <w:shd w:val="clear" w:color="auto" w:fill="FFFFFF"/>
              </w:rPr>
            </w:pPr>
          </w:p>
        </w:tc>
        <w:tc>
          <w:tcPr>
            <w:tcW w:w="992"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100-90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优</w:t>
            </w:r>
          </w:p>
        </w:tc>
        <w:tc>
          <w:tcPr>
            <w:tcW w:w="1134"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89-75</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良</w:t>
            </w:r>
          </w:p>
        </w:tc>
        <w:tc>
          <w:tcPr>
            <w:tcW w:w="1276"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74-60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合格</w:t>
            </w:r>
          </w:p>
        </w:tc>
        <w:tc>
          <w:tcPr>
            <w:tcW w:w="1137" w:type="dxa"/>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5</w:t>
            </w:r>
            <w:r>
              <w:rPr>
                <w:rFonts w:ascii="宋体" w:hAnsi="宋体"/>
                <w:b/>
                <w:szCs w:val="21"/>
                <w:shd w:val="clear" w:color="auto" w:fill="FFFFFF"/>
              </w:rPr>
              <w:t>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不合格</w:t>
            </w:r>
          </w:p>
        </w:tc>
        <w:tc>
          <w:tcPr>
            <w:tcW w:w="706" w:type="dxa"/>
            <w:vMerge w:val="continue"/>
          </w:tcPr>
          <w:p>
            <w:pPr>
              <w:adjustRightInd w:val="0"/>
              <w:snapToGrid w:val="0"/>
              <w:spacing w:line="300" w:lineRule="auto"/>
              <w:jc w:val="cente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ascii="宋体" w:hAnsi="宋体"/>
                <w:b/>
                <w:szCs w:val="21"/>
                <w:shd w:val="clear" w:color="auto" w:fill="FFFFFF"/>
              </w:rPr>
            </w:pPr>
            <w:r>
              <w:rPr>
                <w:rFonts w:hAnsi="宋体"/>
                <w:b/>
                <w:kern w:val="0"/>
                <w:sz w:val="21"/>
                <w:szCs w:val="21"/>
              </w:rPr>
              <w:t>操作实践</w:t>
            </w:r>
            <w:r>
              <w:rPr>
                <w:b/>
                <w:kern w:val="0"/>
                <w:sz w:val="21"/>
                <w:szCs w:val="21"/>
              </w:rPr>
              <w:t>1</w:t>
            </w:r>
          </w:p>
        </w:tc>
        <w:tc>
          <w:tcPr>
            <w:tcW w:w="992" w:type="dxa"/>
            <w:vAlign w:val="top"/>
          </w:tcPr>
          <w:p>
            <w:pPr>
              <w:adjustRightInd w:val="0"/>
              <w:snapToGrid w:val="0"/>
              <w:rPr>
                <w:rFonts w:ascii="宋体" w:hAnsi="宋体"/>
                <w:bCs/>
                <w:szCs w:val="21"/>
                <w:shd w:val="clear" w:color="auto" w:fill="FFFFFF"/>
              </w:rPr>
            </w:pPr>
            <w:r>
              <w:rPr>
                <w:rFonts w:hAnsi="宋体"/>
                <w:bCs/>
                <w:kern w:val="0"/>
                <w:sz w:val="21"/>
                <w:szCs w:val="21"/>
                <w:shd w:val="clear" w:color="auto" w:fill="FFFFFF"/>
              </w:rPr>
              <w:t>课程目标</w:t>
            </w:r>
            <w:r>
              <w:rPr>
                <w:bCs/>
                <w:kern w:val="0"/>
                <w:sz w:val="21"/>
                <w:szCs w:val="21"/>
                <w:shd w:val="clear" w:color="auto" w:fill="FFFFFF"/>
              </w:rPr>
              <w:t>1</w:t>
            </w:r>
          </w:p>
        </w:tc>
        <w:tc>
          <w:tcPr>
            <w:tcW w:w="1134" w:type="dxa"/>
            <w:vAlign w:val="center"/>
          </w:tcPr>
          <w:p>
            <w:pPr>
              <w:rPr>
                <w:rFonts w:ascii="宋体" w:hAnsi="宋体"/>
              </w:rPr>
            </w:pPr>
            <w:r>
              <w:rPr>
                <w:rFonts w:hint="eastAsia" w:ascii="宋体" w:hAnsi="宋体" w:cs="宋体"/>
                <w:szCs w:val="21"/>
              </w:rPr>
              <w:t>掌握常用轴类零件的数控加工工艺以及</w:t>
            </w:r>
            <w:r>
              <w:rPr>
                <w:rFonts w:hint="eastAsia" w:ascii="宋体" w:hAnsi="宋体"/>
              </w:rPr>
              <w:t>数控车床加工的操作技能和编程方法</w:t>
            </w:r>
            <w:r>
              <w:rPr>
                <w:rFonts w:hint="eastAsia" w:ascii="宋体" w:hAnsi="宋体" w:cs="宋体"/>
                <w:szCs w:val="21"/>
              </w:rPr>
              <w:t>，学会应用FANUC 0i系统数控机床进行轴类零件的编程和加工。</w:t>
            </w:r>
          </w:p>
        </w:tc>
        <w:tc>
          <w:tcPr>
            <w:tcW w:w="992" w:type="dxa"/>
          </w:tcPr>
          <w:p>
            <w:pPr>
              <w:adjustRightInd w:val="0"/>
              <w:snapToGrid w:val="0"/>
              <w:rPr>
                <w:rFonts w:ascii="宋体" w:hAnsi="宋体"/>
                <w:szCs w:val="21"/>
              </w:rPr>
            </w:pPr>
            <w:r>
              <w:rPr>
                <w:rFonts w:hint="eastAsia" w:ascii="宋体" w:hAnsi="宋体" w:cs="宋体"/>
                <w:szCs w:val="21"/>
                <w:lang w:eastAsia="zh-CN"/>
              </w:rPr>
              <w:t>完全</w:t>
            </w:r>
            <w:r>
              <w:rPr>
                <w:rFonts w:hint="eastAsia" w:ascii="宋体" w:hAnsi="宋体" w:cs="宋体"/>
                <w:szCs w:val="21"/>
              </w:rPr>
              <w:t>能够掌握常用轴类零件的数控加工工艺以及</w:t>
            </w:r>
            <w:r>
              <w:rPr>
                <w:rFonts w:hint="eastAsia" w:ascii="宋体" w:hAnsi="宋体"/>
              </w:rPr>
              <w:t>数控车床加工的操作技能</w:t>
            </w:r>
            <w:r>
              <w:rPr>
                <w:rFonts w:hint="eastAsia" w:ascii="宋体" w:hAnsi="宋体" w:cs="宋体"/>
                <w:szCs w:val="21"/>
              </w:rPr>
              <w:t>，</w:t>
            </w:r>
            <w:r>
              <w:rPr>
                <w:rFonts w:hint="eastAsia" w:ascii="宋体" w:hAnsi="宋体" w:cs="宋体"/>
                <w:szCs w:val="21"/>
                <w:lang w:eastAsia="zh-CN"/>
              </w:rPr>
              <w:t>完全</w:t>
            </w:r>
            <w:r>
              <w:rPr>
                <w:rFonts w:hint="eastAsia" w:ascii="宋体" w:hAnsi="宋体" w:cs="宋体"/>
                <w:szCs w:val="21"/>
              </w:rPr>
              <w:t>能够应用FANUC 0i系统数控机床进行轴类零件的编程和加工。</w:t>
            </w:r>
          </w:p>
        </w:tc>
        <w:tc>
          <w:tcPr>
            <w:tcW w:w="1134" w:type="dxa"/>
          </w:tcPr>
          <w:p>
            <w:pPr>
              <w:adjustRightInd w:val="0"/>
              <w:snapToGrid w:val="0"/>
              <w:rPr>
                <w:rFonts w:ascii="宋体" w:hAnsi="宋体" w:cs="宋体"/>
                <w:szCs w:val="21"/>
              </w:rPr>
            </w:pPr>
            <w:r>
              <w:rPr>
                <w:rFonts w:hint="eastAsia" w:ascii="宋体" w:hAnsi="宋体" w:cs="宋体"/>
                <w:szCs w:val="21"/>
              </w:rPr>
              <w:t>能够掌握常用轴类零件的数控加工工艺以及</w:t>
            </w:r>
            <w:r>
              <w:rPr>
                <w:rFonts w:hint="eastAsia" w:ascii="宋体" w:hAnsi="宋体"/>
              </w:rPr>
              <w:t>数控车床加工的操作技能</w:t>
            </w:r>
            <w:r>
              <w:rPr>
                <w:rFonts w:hint="eastAsia" w:ascii="宋体" w:hAnsi="宋体" w:cs="宋体"/>
                <w:szCs w:val="21"/>
              </w:rPr>
              <w:t>，能够应用FANUC 0i系统数控机床进行轴类零件的编程和加工。</w:t>
            </w:r>
          </w:p>
          <w:p>
            <w:pPr>
              <w:rPr>
                <w:rFonts w:ascii="宋体" w:hAnsi="宋体"/>
                <w:szCs w:val="21"/>
              </w:rPr>
            </w:pPr>
          </w:p>
          <w:p>
            <w:pPr>
              <w:adjustRightInd w:val="0"/>
              <w:snapToGrid w:val="0"/>
              <w:rPr>
                <w:rFonts w:ascii="宋体" w:hAnsi="宋体"/>
                <w:szCs w:val="21"/>
                <w:shd w:val="clear" w:color="auto" w:fill="FFFFFF"/>
              </w:rPr>
            </w:pPr>
          </w:p>
        </w:tc>
        <w:tc>
          <w:tcPr>
            <w:tcW w:w="1276" w:type="dxa"/>
          </w:tcPr>
          <w:p>
            <w:pPr>
              <w:adjustRightInd w:val="0"/>
              <w:snapToGrid w:val="0"/>
              <w:rPr>
                <w:rFonts w:ascii="宋体" w:hAnsi="宋体" w:cs="宋体"/>
                <w:szCs w:val="21"/>
              </w:rPr>
            </w:pPr>
            <w:r>
              <w:rPr>
                <w:rFonts w:hint="eastAsia" w:ascii="宋体" w:hAnsi="宋体" w:cs="宋体"/>
                <w:szCs w:val="21"/>
                <w:lang w:eastAsia="zh-CN"/>
              </w:rPr>
              <w:t>基本上</w:t>
            </w:r>
            <w:r>
              <w:rPr>
                <w:rFonts w:hint="eastAsia" w:ascii="宋体" w:hAnsi="宋体" w:cs="宋体"/>
                <w:szCs w:val="21"/>
              </w:rPr>
              <w:t>能够掌握常用轴类零件的数控加工工艺以及</w:t>
            </w:r>
            <w:r>
              <w:rPr>
                <w:rFonts w:hint="eastAsia" w:ascii="宋体" w:hAnsi="宋体"/>
              </w:rPr>
              <w:t>数控车床加工的操作技能</w:t>
            </w:r>
            <w:r>
              <w:rPr>
                <w:rFonts w:hint="eastAsia" w:ascii="宋体" w:hAnsi="宋体" w:cs="宋体"/>
                <w:szCs w:val="21"/>
              </w:rPr>
              <w:t>，</w:t>
            </w:r>
            <w:r>
              <w:rPr>
                <w:rFonts w:hint="eastAsia" w:ascii="宋体" w:hAnsi="宋体" w:cs="宋体"/>
                <w:szCs w:val="21"/>
                <w:lang w:eastAsia="zh-CN"/>
              </w:rPr>
              <w:t>基本上</w:t>
            </w:r>
            <w:r>
              <w:rPr>
                <w:rFonts w:hint="eastAsia" w:ascii="宋体" w:hAnsi="宋体" w:cs="宋体"/>
                <w:szCs w:val="21"/>
              </w:rPr>
              <w:t>能够应用FANUC 0i系统数控机床进行轴类零件的编程和加工。</w:t>
            </w:r>
          </w:p>
          <w:p>
            <w:pPr>
              <w:rPr>
                <w:rFonts w:ascii="宋体" w:hAnsi="宋体"/>
                <w:szCs w:val="21"/>
              </w:rPr>
            </w:pPr>
          </w:p>
        </w:tc>
        <w:tc>
          <w:tcPr>
            <w:tcW w:w="1137" w:type="dxa"/>
          </w:tcPr>
          <w:p>
            <w:pPr>
              <w:adjustRightInd w:val="0"/>
              <w:snapToGrid w:val="0"/>
              <w:rPr>
                <w:rFonts w:ascii="宋体" w:hAnsi="宋体" w:cs="宋体"/>
                <w:szCs w:val="21"/>
              </w:rPr>
            </w:pPr>
            <w:r>
              <w:rPr>
                <w:rFonts w:hint="eastAsia" w:ascii="宋体" w:hAnsi="宋体" w:cs="宋体"/>
                <w:szCs w:val="21"/>
              </w:rPr>
              <w:t>不能掌握常用轴类零件的数控加工工艺以及</w:t>
            </w:r>
            <w:r>
              <w:rPr>
                <w:rFonts w:hint="eastAsia" w:ascii="宋体" w:hAnsi="宋体"/>
              </w:rPr>
              <w:t>数控车床加工的操作技能</w:t>
            </w:r>
            <w:r>
              <w:rPr>
                <w:rFonts w:hint="eastAsia" w:ascii="宋体" w:hAnsi="宋体" w:cs="宋体"/>
                <w:szCs w:val="21"/>
              </w:rPr>
              <w:t>，不能应用FANUC 0i系统数控机床进行轴类零件的编程和加工。</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ascii="宋体" w:hAnsi="宋体"/>
                <w:szCs w:val="21"/>
                <w:shd w:val="clear" w:color="auto" w:fill="FFFFFF"/>
              </w:rPr>
            </w:pPr>
            <w:r>
              <w:rPr>
                <w:rFonts w:hint="eastAsia"/>
                <w:kern w:val="0"/>
                <w:sz w:val="21"/>
                <w:szCs w:val="21"/>
                <w:shd w:val="clear" w:color="auto" w:fill="FFFFFF"/>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hint="eastAsia" w:ascii="宋体" w:hAnsi="宋体" w:eastAsia="宋体"/>
                <w:b/>
                <w:szCs w:val="21"/>
                <w:shd w:val="clear" w:color="auto" w:fill="FFFFFF"/>
                <w:lang w:val="en-US" w:eastAsia="zh-CN"/>
              </w:rPr>
            </w:pPr>
            <w:r>
              <w:rPr>
                <w:rFonts w:hAnsi="宋体"/>
                <w:b/>
                <w:kern w:val="0"/>
                <w:sz w:val="21"/>
                <w:szCs w:val="21"/>
              </w:rPr>
              <w:t>操作实践</w:t>
            </w:r>
            <w:r>
              <w:rPr>
                <w:rFonts w:hint="eastAsia" w:hAnsi="宋体"/>
                <w:b/>
                <w:kern w:val="0"/>
                <w:sz w:val="21"/>
                <w:szCs w:val="21"/>
                <w:lang w:val="en-US" w:eastAsia="zh-CN"/>
              </w:rPr>
              <w:t>2</w:t>
            </w:r>
          </w:p>
        </w:tc>
        <w:tc>
          <w:tcPr>
            <w:tcW w:w="992" w:type="dxa"/>
            <w:vAlign w:val="top"/>
          </w:tcPr>
          <w:p>
            <w:pPr>
              <w:adjustRightInd w:val="0"/>
              <w:snapToGrid w:val="0"/>
              <w:rPr>
                <w:rFonts w:ascii="宋体" w:hAnsi="宋体"/>
                <w:bCs/>
                <w:szCs w:val="21"/>
                <w:shd w:val="clear" w:color="auto" w:fill="FFFFFF"/>
              </w:rPr>
            </w:pPr>
            <w:r>
              <w:rPr>
                <w:rFonts w:hAnsi="宋体"/>
                <w:bCs/>
                <w:kern w:val="0"/>
                <w:sz w:val="21"/>
                <w:szCs w:val="21"/>
                <w:shd w:val="clear" w:color="auto" w:fill="FFFFFF"/>
              </w:rPr>
              <w:t>课程目标</w:t>
            </w:r>
            <w:r>
              <w:rPr>
                <w:bCs/>
                <w:kern w:val="0"/>
                <w:sz w:val="21"/>
                <w:szCs w:val="21"/>
                <w:shd w:val="clear" w:color="auto" w:fill="FFFFFF"/>
              </w:rPr>
              <w:t>2</w:t>
            </w:r>
          </w:p>
        </w:tc>
        <w:tc>
          <w:tcPr>
            <w:tcW w:w="1134" w:type="dxa"/>
            <w:vAlign w:val="center"/>
          </w:tcPr>
          <w:p>
            <w:pPr>
              <w:rPr>
                <w:rFonts w:ascii="宋体" w:hAnsi="宋体"/>
              </w:rPr>
            </w:pPr>
            <w:r>
              <w:rPr>
                <w:rFonts w:hint="eastAsia" w:ascii="宋体" w:hAnsi="宋体" w:cs="宋体"/>
              </w:rPr>
              <w:t>掌握常用盘类零件的数控加工工艺以及数控铣床加工的操作技能和编程方法，学会应用FANUC 0i系统数控机床进行盘类零件的编程和加工。</w:t>
            </w:r>
          </w:p>
        </w:tc>
        <w:tc>
          <w:tcPr>
            <w:tcW w:w="992" w:type="dxa"/>
          </w:tcPr>
          <w:p>
            <w:pPr>
              <w:adjustRightInd w:val="0"/>
              <w:snapToGrid w:val="0"/>
              <w:rPr>
                <w:rFonts w:ascii="宋体" w:hAnsi="宋体"/>
                <w:szCs w:val="21"/>
              </w:rPr>
            </w:pPr>
            <w:r>
              <w:rPr>
                <w:rFonts w:hint="eastAsia" w:ascii="宋体" w:hAnsi="宋体" w:cs="宋体"/>
                <w:szCs w:val="21"/>
                <w:lang w:eastAsia="zh-CN"/>
              </w:rPr>
              <w:t>完全</w:t>
            </w:r>
            <w:r>
              <w:rPr>
                <w:rFonts w:hint="eastAsia" w:ascii="宋体" w:hAnsi="宋体" w:cs="宋体"/>
                <w:szCs w:val="21"/>
              </w:rPr>
              <w:t>能够</w:t>
            </w:r>
            <w:r>
              <w:rPr>
                <w:rFonts w:hint="eastAsia" w:ascii="宋体" w:hAnsi="宋体" w:cs="宋体"/>
              </w:rPr>
              <w:t>掌握常用盘类零件的数控加工工艺以及数控铣床加工的操作技能，</w:t>
            </w:r>
            <w:r>
              <w:rPr>
                <w:rFonts w:hint="eastAsia" w:ascii="宋体" w:hAnsi="宋体" w:cs="宋体"/>
                <w:szCs w:val="21"/>
                <w:lang w:eastAsia="zh-CN"/>
              </w:rPr>
              <w:t>完全</w:t>
            </w:r>
            <w:r>
              <w:rPr>
                <w:rFonts w:hint="eastAsia" w:ascii="宋体" w:hAnsi="宋体" w:cs="宋体"/>
                <w:szCs w:val="21"/>
              </w:rPr>
              <w:t>能够</w:t>
            </w:r>
            <w:r>
              <w:rPr>
                <w:rFonts w:hint="eastAsia" w:ascii="宋体" w:hAnsi="宋体" w:cs="宋体"/>
              </w:rPr>
              <w:t>应用FANUC 0i系统数控机床进行盘类零件的编程和加工。</w:t>
            </w:r>
          </w:p>
        </w:tc>
        <w:tc>
          <w:tcPr>
            <w:tcW w:w="1134" w:type="dxa"/>
          </w:tcPr>
          <w:p>
            <w:pPr>
              <w:adjustRightInd w:val="0"/>
              <w:snapToGrid w:val="0"/>
              <w:rPr>
                <w:rFonts w:ascii="宋体" w:hAnsi="宋体" w:cs="宋体"/>
                <w:szCs w:val="21"/>
              </w:rPr>
            </w:pPr>
            <w:r>
              <w:rPr>
                <w:rFonts w:hint="eastAsia" w:ascii="宋体" w:hAnsi="宋体" w:cs="宋体"/>
              </w:rPr>
              <w:t>能够掌握常用盘类零件的数控加工工艺以及数控铣床加工的操作技能，能够应用FANUC 0i系统数控机床进行盘类零件的编程和加工。</w:t>
            </w:r>
          </w:p>
          <w:p>
            <w:pPr>
              <w:rPr>
                <w:rFonts w:ascii="宋体" w:hAnsi="宋体"/>
                <w:szCs w:val="21"/>
              </w:rPr>
            </w:pPr>
          </w:p>
          <w:p>
            <w:pPr>
              <w:adjustRightInd w:val="0"/>
              <w:snapToGrid w:val="0"/>
              <w:rPr>
                <w:rFonts w:ascii="宋体" w:hAnsi="宋体"/>
                <w:szCs w:val="21"/>
                <w:shd w:val="clear" w:color="auto" w:fill="FFFFFF"/>
              </w:rPr>
            </w:pPr>
          </w:p>
        </w:tc>
        <w:tc>
          <w:tcPr>
            <w:tcW w:w="1276" w:type="dxa"/>
          </w:tcPr>
          <w:p>
            <w:pPr>
              <w:adjustRightInd w:val="0"/>
              <w:snapToGrid w:val="0"/>
              <w:rPr>
                <w:rFonts w:ascii="宋体" w:hAnsi="宋体" w:cs="宋体"/>
                <w:szCs w:val="21"/>
              </w:rPr>
            </w:pPr>
            <w:r>
              <w:rPr>
                <w:rFonts w:hint="eastAsia" w:ascii="宋体" w:hAnsi="宋体" w:cs="宋体"/>
                <w:szCs w:val="21"/>
                <w:lang w:eastAsia="zh-CN"/>
              </w:rPr>
              <w:t>基本上</w:t>
            </w:r>
            <w:r>
              <w:rPr>
                <w:rFonts w:hint="eastAsia" w:ascii="宋体" w:hAnsi="宋体" w:cs="宋体"/>
                <w:szCs w:val="21"/>
              </w:rPr>
              <w:t>能够</w:t>
            </w:r>
            <w:r>
              <w:rPr>
                <w:rFonts w:hint="eastAsia" w:ascii="宋体" w:hAnsi="宋体" w:cs="宋体"/>
              </w:rPr>
              <w:t>掌握常用盘类零件的数控加工工艺以及数控铣床加工的操作技能，</w:t>
            </w:r>
            <w:r>
              <w:rPr>
                <w:rFonts w:hint="eastAsia" w:ascii="宋体" w:hAnsi="宋体" w:cs="宋体"/>
                <w:szCs w:val="21"/>
                <w:lang w:eastAsia="zh-CN"/>
              </w:rPr>
              <w:t>基本上</w:t>
            </w:r>
            <w:r>
              <w:rPr>
                <w:rFonts w:hint="eastAsia" w:ascii="宋体" w:hAnsi="宋体" w:cs="宋体"/>
                <w:szCs w:val="21"/>
              </w:rPr>
              <w:t>能够</w:t>
            </w:r>
            <w:r>
              <w:rPr>
                <w:rFonts w:hint="eastAsia" w:ascii="宋体" w:hAnsi="宋体" w:cs="宋体"/>
              </w:rPr>
              <w:t>应用FANUC 0i系统数控机床进行盘类零件的编程和加工。</w:t>
            </w:r>
          </w:p>
          <w:p>
            <w:pPr>
              <w:rPr>
                <w:rFonts w:ascii="宋体" w:hAnsi="宋体"/>
                <w:szCs w:val="21"/>
              </w:rPr>
            </w:pPr>
          </w:p>
        </w:tc>
        <w:tc>
          <w:tcPr>
            <w:tcW w:w="1137" w:type="dxa"/>
          </w:tcPr>
          <w:p>
            <w:pPr>
              <w:adjustRightInd w:val="0"/>
              <w:snapToGrid w:val="0"/>
              <w:rPr>
                <w:rFonts w:ascii="宋体" w:hAnsi="宋体" w:cs="宋体"/>
                <w:szCs w:val="21"/>
              </w:rPr>
            </w:pPr>
            <w:r>
              <w:rPr>
                <w:rFonts w:hint="eastAsia" w:ascii="宋体" w:hAnsi="宋体" w:cs="宋体"/>
                <w:szCs w:val="21"/>
              </w:rPr>
              <w:t>不能</w:t>
            </w:r>
            <w:r>
              <w:rPr>
                <w:rFonts w:hint="eastAsia" w:ascii="宋体" w:hAnsi="宋体" w:cs="宋体"/>
              </w:rPr>
              <w:t>掌握常用盘类零件的数控加工工艺以及数控铣床加工的操作技能，</w:t>
            </w:r>
            <w:r>
              <w:rPr>
                <w:rFonts w:hint="eastAsia" w:ascii="宋体" w:hAnsi="宋体" w:cs="宋体"/>
                <w:szCs w:val="21"/>
              </w:rPr>
              <w:t>不能</w:t>
            </w:r>
            <w:r>
              <w:rPr>
                <w:rFonts w:hint="eastAsia" w:ascii="宋体" w:hAnsi="宋体" w:cs="宋体"/>
              </w:rPr>
              <w:t>应用FANUC 0i系统数控机床进行盘类零件的编程和加工。</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ascii="宋体" w:hAnsi="宋体"/>
                <w:szCs w:val="21"/>
                <w:shd w:val="clear" w:color="auto" w:fill="FFFFFF"/>
              </w:rPr>
            </w:pPr>
            <w:r>
              <w:rPr>
                <w:rFonts w:hint="eastAsia"/>
                <w:kern w:val="0"/>
                <w:sz w:val="21"/>
                <w:szCs w:val="21"/>
                <w:shd w:val="clear" w:color="auto" w:fill="FFFFFF"/>
                <w:lang w:val="en-US" w:eastAsia="zh-CN"/>
              </w:rPr>
              <w:t>1/2</w:t>
            </w:r>
          </w:p>
        </w:tc>
      </w:tr>
    </w:tbl>
    <w:p>
      <w:pPr>
        <w:rPr>
          <w:rFonts w:ascii="黑体" w:hAnsi="黑体" w:eastAsia="黑体"/>
          <w:sz w:val="24"/>
        </w:rPr>
      </w:pPr>
    </w:p>
    <w:p>
      <w:pPr>
        <w:spacing w:line="360" w:lineRule="auto"/>
        <w:jc w:val="center"/>
        <w:rPr>
          <w:rFonts w:ascii="宋体" w:hAnsi="宋体"/>
          <w:color w:val="000000" w:themeColor="text1"/>
          <w14:textFill>
            <w14:solidFill>
              <w14:schemeClr w14:val="tx1"/>
            </w14:solidFill>
          </w14:textFill>
        </w:rPr>
      </w:pPr>
      <w:r>
        <w:rPr>
          <w:rFonts w:hint="eastAsia" w:ascii="宋体" w:hAnsi="宋体"/>
          <w:b/>
          <w:sz w:val="24"/>
          <w:lang w:eastAsia="zh-CN"/>
        </w:rPr>
        <w:t>二</w:t>
      </w:r>
      <w:r>
        <w:rPr>
          <w:rFonts w:hint="eastAsia" w:ascii="宋体" w:hAnsi="宋体"/>
          <w:b/>
          <w:sz w:val="24"/>
        </w:rPr>
        <w:t>、</w:t>
      </w:r>
      <w:r>
        <w:rPr>
          <w:rFonts w:hint="eastAsia" w:ascii="宋体" w:hAnsi="宋体"/>
          <w:b/>
          <w:sz w:val="24"/>
          <w:lang w:eastAsia="zh-CN"/>
        </w:rPr>
        <w:t>实习报告</w:t>
      </w:r>
      <w:r>
        <w:rPr>
          <w:rFonts w:hint="eastAsia" w:ascii="宋体" w:hAnsi="宋体"/>
          <w:b/>
          <w:sz w:val="24"/>
        </w:rPr>
        <w:t>考核及</w:t>
      </w:r>
      <w:r>
        <w:rPr>
          <w:rFonts w:ascii="宋体" w:hAnsi="宋体"/>
          <w:b/>
          <w:sz w:val="24"/>
        </w:rPr>
        <w:t>评</w:t>
      </w:r>
      <w:r>
        <w:rPr>
          <w:rFonts w:hint="eastAsia" w:ascii="宋体" w:hAnsi="宋体"/>
          <w:b/>
          <w:sz w:val="24"/>
        </w:rPr>
        <w:t>价</w:t>
      </w:r>
      <w:r>
        <w:rPr>
          <w:rFonts w:ascii="宋体" w:hAnsi="宋体"/>
          <w:b/>
          <w:sz w:val="24"/>
        </w:rPr>
        <w:t>标准</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134"/>
        <w:gridCol w:w="992"/>
        <w:gridCol w:w="1134"/>
        <w:gridCol w:w="1276"/>
        <w:gridCol w:w="113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8" w:type="dxa"/>
            <w:vMerge w:val="restart"/>
            <w:tcBorders>
              <w:tl2br w:val="single" w:color="auto" w:sz="4" w:space="0"/>
            </w:tcBorders>
          </w:tcPr>
          <w:p>
            <w:pPr>
              <w:adjustRightInd w:val="0"/>
              <w:snapToGrid w:val="0"/>
              <w:spacing w:line="300" w:lineRule="auto"/>
              <w:rPr>
                <w:rFonts w:ascii="宋体" w:hAnsi="宋体"/>
                <w:b/>
                <w:szCs w:val="21"/>
                <w:shd w:val="clear" w:color="auto" w:fill="FFFFFF"/>
              </w:rPr>
            </w:pPr>
          </w:p>
        </w:tc>
        <w:tc>
          <w:tcPr>
            <w:tcW w:w="992" w:type="dxa"/>
            <w:vMerge w:val="restart"/>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对应课程目标</w:t>
            </w:r>
          </w:p>
        </w:tc>
        <w:tc>
          <w:tcPr>
            <w:tcW w:w="1134"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基本要求</w:t>
            </w:r>
          </w:p>
        </w:tc>
        <w:tc>
          <w:tcPr>
            <w:tcW w:w="4539" w:type="dxa"/>
            <w:gridSpan w:val="4"/>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评价标准</w:t>
            </w:r>
          </w:p>
        </w:tc>
        <w:tc>
          <w:tcPr>
            <w:tcW w:w="706" w:type="dxa"/>
            <w:vMerge w:val="restart"/>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Borders>
              <w:tl2br w:val="single" w:color="auto" w:sz="4" w:space="0"/>
            </w:tcBorders>
          </w:tcPr>
          <w:p>
            <w:pPr>
              <w:adjustRightInd w:val="0"/>
              <w:snapToGrid w:val="0"/>
              <w:spacing w:line="300" w:lineRule="auto"/>
              <w:jc w:val="center"/>
              <w:rPr>
                <w:rFonts w:ascii="宋体" w:hAnsi="宋体"/>
                <w:b/>
                <w:szCs w:val="21"/>
                <w:shd w:val="clear" w:color="auto" w:fill="FFFFFF"/>
              </w:rPr>
            </w:pPr>
          </w:p>
        </w:tc>
        <w:tc>
          <w:tcPr>
            <w:tcW w:w="992" w:type="dxa"/>
            <w:vMerge w:val="continue"/>
          </w:tcPr>
          <w:p>
            <w:pPr>
              <w:adjustRightInd w:val="0"/>
              <w:snapToGrid w:val="0"/>
              <w:spacing w:line="300" w:lineRule="auto"/>
              <w:jc w:val="center"/>
              <w:rPr>
                <w:rFonts w:ascii="宋体" w:hAnsi="宋体"/>
                <w:szCs w:val="21"/>
                <w:shd w:val="clear" w:color="auto" w:fill="FFFFFF"/>
              </w:rPr>
            </w:pPr>
          </w:p>
        </w:tc>
        <w:tc>
          <w:tcPr>
            <w:tcW w:w="1134" w:type="dxa"/>
            <w:vMerge w:val="continue"/>
          </w:tcPr>
          <w:p>
            <w:pPr>
              <w:adjustRightInd w:val="0"/>
              <w:snapToGrid w:val="0"/>
              <w:spacing w:line="300" w:lineRule="auto"/>
              <w:jc w:val="center"/>
              <w:rPr>
                <w:rFonts w:ascii="宋体" w:hAnsi="宋体"/>
                <w:szCs w:val="21"/>
                <w:shd w:val="clear" w:color="auto" w:fill="FFFFFF"/>
              </w:rPr>
            </w:pPr>
          </w:p>
        </w:tc>
        <w:tc>
          <w:tcPr>
            <w:tcW w:w="992"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100-90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优</w:t>
            </w:r>
          </w:p>
        </w:tc>
        <w:tc>
          <w:tcPr>
            <w:tcW w:w="1134"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89-75</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良</w:t>
            </w:r>
          </w:p>
        </w:tc>
        <w:tc>
          <w:tcPr>
            <w:tcW w:w="1276" w:type="dxa"/>
            <w:vAlign w:val="center"/>
          </w:tcPr>
          <w:p>
            <w:pPr>
              <w:adjustRightInd w:val="0"/>
              <w:snapToGrid w:val="0"/>
              <w:spacing w:line="300" w:lineRule="auto"/>
              <w:jc w:val="center"/>
              <w:rPr>
                <w:rFonts w:ascii="宋体" w:hAnsi="宋体"/>
                <w:b/>
                <w:szCs w:val="21"/>
                <w:shd w:val="clear" w:color="auto" w:fill="FFFFFF"/>
              </w:rPr>
            </w:pPr>
            <w:r>
              <w:rPr>
                <w:rFonts w:ascii="宋体" w:hAnsi="宋体"/>
                <w:b/>
                <w:szCs w:val="21"/>
                <w:shd w:val="clear" w:color="auto" w:fill="FFFFFF"/>
              </w:rPr>
              <w:t>74-60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合格</w:t>
            </w:r>
          </w:p>
        </w:tc>
        <w:tc>
          <w:tcPr>
            <w:tcW w:w="1137" w:type="dxa"/>
            <w:vAlign w:val="center"/>
          </w:tcPr>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5</w:t>
            </w:r>
            <w:r>
              <w:rPr>
                <w:rFonts w:ascii="宋体" w:hAnsi="宋体"/>
                <w:b/>
                <w:szCs w:val="21"/>
                <w:shd w:val="clear" w:color="auto" w:fill="FFFFFF"/>
              </w:rPr>
              <w:t>9-0</w:t>
            </w:r>
          </w:p>
          <w:p>
            <w:pPr>
              <w:adjustRightInd w:val="0"/>
              <w:snapToGrid w:val="0"/>
              <w:spacing w:line="300" w:lineRule="auto"/>
              <w:jc w:val="center"/>
              <w:rPr>
                <w:rFonts w:ascii="宋体" w:hAnsi="宋体"/>
                <w:b/>
                <w:szCs w:val="21"/>
                <w:shd w:val="clear" w:color="auto" w:fill="FFFFFF"/>
              </w:rPr>
            </w:pPr>
            <w:r>
              <w:rPr>
                <w:rFonts w:hint="eastAsia" w:ascii="宋体" w:hAnsi="宋体"/>
                <w:b/>
                <w:szCs w:val="21"/>
                <w:shd w:val="clear" w:color="auto" w:fill="FFFFFF"/>
              </w:rPr>
              <w:t>不合格</w:t>
            </w:r>
          </w:p>
        </w:tc>
        <w:tc>
          <w:tcPr>
            <w:tcW w:w="706" w:type="dxa"/>
            <w:vMerge w:val="continue"/>
          </w:tcPr>
          <w:p>
            <w:pPr>
              <w:adjustRightInd w:val="0"/>
              <w:snapToGrid w:val="0"/>
              <w:spacing w:line="300" w:lineRule="auto"/>
              <w:jc w:val="cente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ascii="宋体" w:hAnsi="宋体"/>
                <w:b/>
                <w:szCs w:val="21"/>
                <w:shd w:val="clear" w:color="auto" w:fill="FFFFFF"/>
              </w:rPr>
            </w:pPr>
            <w:r>
              <w:rPr>
                <w:rFonts w:hint="eastAsia" w:hAnsi="宋体"/>
                <w:b/>
                <w:kern w:val="0"/>
                <w:sz w:val="21"/>
                <w:szCs w:val="21"/>
                <w:lang w:eastAsia="zh-CN"/>
              </w:rPr>
              <w:t>实习报告</w:t>
            </w:r>
            <w:r>
              <w:rPr>
                <w:rFonts w:hint="eastAsia" w:hAnsi="宋体"/>
                <w:b/>
                <w:kern w:val="0"/>
                <w:sz w:val="21"/>
                <w:szCs w:val="21"/>
              </w:rPr>
              <w:t>1</w:t>
            </w:r>
          </w:p>
        </w:tc>
        <w:tc>
          <w:tcPr>
            <w:tcW w:w="992" w:type="dxa"/>
            <w:vAlign w:val="top"/>
          </w:tcPr>
          <w:p>
            <w:pPr>
              <w:adjustRightInd w:val="0"/>
              <w:snapToGrid w:val="0"/>
              <w:rPr>
                <w:rFonts w:ascii="宋体" w:hAnsi="宋体"/>
                <w:bCs/>
                <w:szCs w:val="21"/>
                <w:shd w:val="clear" w:color="auto" w:fill="FFFFFF"/>
              </w:rPr>
            </w:pPr>
            <w:r>
              <w:rPr>
                <w:rFonts w:hAnsi="宋体"/>
                <w:bCs/>
                <w:kern w:val="0"/>
                <w:sz w:val="21"/>
                <w:szCs w:val="21"/>
                <w:shd w:val="clear" w:color="auto" w:fill="FFFFFF"/>
              </w:rPr>
              <w:t>课程目标</w:t>
            </w:r>
            <w:r>
              <w:rPr>
                <w:bCs/>
                <w:kern w:val="0"/>
                <w:sz w:val="21"/>
                <w:szCs w:val="21"/>
                <w:shd w:val="clear" w:color="auto" w:fill="FFFFFF"/>
              </w:rPr>
              <w:t>1</w:t>
            </w:r>
          </w:p>
        </w:tc>
        <w:tc>
          <w:tcPr>
            <w:tcW w:w="1134" w:type="dxa"/>
            <w:vAlign w:val="center"/>
          </w:tcPr>
          <w:p>
            <w:pPr>
              <w:rPr>
                <w:rFonts w:ascii="宋体" w:hAnsi="宋体"/>
              </w:rPr>
            </w:pPr>
            <w:r>
              <w:rPr>
                <w:rFonts w:hint="eastAsia" w:ascii="宋体" w:hAnsi="宋体" w:cs="宋体"/>
                <w:szCs w:val="21"/>
              </w:rPr>
              <w:t>掌握常用轴类零件的数控加工工艺以及</w:t>
            </w:r>
            <w:r>
              <w:rPr>
                <w:rFonts w:hint="eastAsia" w:ascii="宋体" w:hAnsi="宋体"/>
              </w:rPr>
              <w:t>数控车床加工的</w:t>
            </w:r>
            <w:r>
              <w:rPr>
                <w:rFonts w:hint="eastAsia" w:ascii="宋体" w:hAnsi="宋体"/>
                <w:lang w:eastAsia="zh-CN"/>
              </w:rPr>
              <w:t>技术要领</w:t>
            </w:r>
            <w:r>
              <w:rPr>
                <w:rFonts w:hint="eastAsia" w:ascii="宋体" w:hAnsi="宋体"/>
              </w:rPr>
              <w:t>和编程方法</w:t>
            </w:r>
            <w:r>
              <w:rPr>
                <w:rFonts w:hint="eastAsia" w:ascii="宋体" w:hAnsi="宋体" w:cs="宋体"/>
                <w:szCs w:val="21"/>
              </w:rPr>
              <w:t>。</w:t>
            </w:r>
          </w:p>
        </w:tc>
        <w:tc>
          <w:tcPr>
            <w:tcW w:w="992" w:type="dxa"/>
          </w:tcPr>
          <w:p>
            <w:pPr>
              <w:rPr>
                <w:rFonts w:ascii="宋体" w:hAnsi="宋体"/>
              </w:rPr>
            </w:pPr>
            <w:r>
              <w:rPr>
                <w:rFonts w:hint="eastAsia" w:ascii="宋体" w:hAnsi="宋体"/>
              </w:rPr>
              <w:t>知识及概念掌握全面，运用得当；解题过程正确、完整，逻辑性强，答案正确率超过90%，书写清晰。</w:t>
            </w:r>
          </w:p>
        </w:tc>
        <w:tc>
          <w:tcPr>
            <w:tcW w:w="1134" w:type="dxa"/>
          </w:tcPr>
          <w:p>
            <w:pPr>
              <w:rPr>
                <w:rFonts w:ascii="宋体" w:hAnsi="宋体"/>
              </w:rPr>
            </w:pPr>
            <w:r>
              <w:rPr>
                <w:rFonts w:hint="eastAsia" w:ascii="宋体" w:hAnsi="宋体"/>
              </w:rPr>
              <w:t>知识及概念掌握较全面，能够运用；解题过程基本正确、完整，答案正确率超过7</w:t>
            </w:r>
            <w:r>
              <w:rPr>
                <w:rFonts w:ascii="宋体" w:hAnsi="宋体"/>
              </w:rPr>
              <w:t>5</w:t>
            </w:r>
            <w:r>
              <w:rPr>
                <w:rFonts w:hint="eastAsia" w:ascii="宋体" w:hAnsi="宋体"/>
              </w:rPr>
              <w:t>%。</w:t>
            </w:r>
          </w:p>
        </w:tc>
        <w:tc>
          <w:tcPr>
            <w:tcW w:w="1276" w:type="dxa"/>
          </w:tcPr>
          <w:p>
            <w:pPr>
              <w:rPr>
                <w:rFonts w:ascii="宋体" w:hAnsi="宋体"/>
              </w:rPr>
            </w:pPr>
            <w:r>
              <w:rPr>
                <w:rFonts w:hint="eastAsia" w:ascii="宋体" w:hAnsi="宋体"/>
              </w:rPr>
              <w:t>知识及概念掌握程度一般，不能正确运用；解题过程中存在错误，答案正确率超过60%。</w:t>
            </w:r>
          </w:p>
        </w:tc>
        <w:tc>
          <w:tcPr>
            <w:tcW w:w="1137" w:type="dxa"/>
          </w:tcPr>
          <w:p>
            <w:pPr>
              <w:rPr>
                <w:rFonts w:ascii="宋体" w:hAnsi="宋体"/>
              </w:rPr>
            </w:pPr>
            <w:r>
              <w:rPr>
                <w:rFonts w:hint="eastAsia" w:ascii="宋体" w:hAnsi="宋体"/>
              </w:rPr>
              <w:t>没有掌握知识及概念，不会运用基本原理及方法；解题过程错误且不完整，答案正确率低于60%。</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hint="eastAsia" w:ascii="宋体" w:hAnsi="宋体" w:eastAsia="宋体"/>
                <w:szCs w:val="21"/>
                <w:shd w:val="clear" w:color="auto" w:fill="FFFFFF"/>
                <w:lang w:eastAsia="zh-CN"/>
              </w:rPr>
            </w:pPr>
            <w:r>
              <w:rPr>
                <w:rFonts w:hint="eastAsia"/>
                <w:kern w:val="0"/>
                <w:sz w:val="21"/>
                <w:szCs w:val="21"/>
                <w:shd w:val="clear" w:color="auto" w:fill="FFFFFF"/>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ascii="宋体" w:hAnsi="宋体"/>
                <w:b/>
                <w:szCs w:val="21"/>
                <w:shd w:val="clear" w:color="auto" w:fill="FFFFFF"/>
              </w:rPr>
            </w:pPr>
            <w:r>
              <w:rPr>
                <w:rFonts w:hint="eastAsia" w:hAnsi="宋体"/>
                <w:b/>
                <w:kern w:val="0"/>
                <w:sz w:val="21"/>
                <w:szCs w:val="21"/>
                <w:lang w:eastAsia="zh-CN"/>
              </w:rPr>
              <w:t>实习报告</w:t>
            </w:r>
            <w:r>
              <w:rPr>
                <w:rFonts w:hint="eastAsia" w:hAnsi="宋体"/>
                <w:b/>
                <w:kern w:val="0"/>
                <w:sz w:val="21"/>
                <w:szCs w:val="21"/>
              </w:rPr>
              <w:t>2</w:t>
            </w:r>
          </w:p>
        </w:tc>
        <w:tc>
          <w:tcPr>
            <w:tcW w:w="992" w:type="dxa"/>
            <w:vAlign w:val="top"/>
          </w:tcPr>
          <w:p>
            <w:pPr>
              <w:adjustRightInd w:val="0"/>
              <w:snapToGrid w:val="0"/>
              <w:rPr>
                <w:rFonts w:ascii="宋体" w:hAnsi="宋体"/>
                <w:bCs/>
                <w:szCs w:val="21"/>
                <w:shd w:val="clear" w:color="auto" w:fill="FFFFFF"/>
              </w:rPr>
            </w:pPr>
            <w:r>
              <w:rPr>
                <w:rFonts w:hAnsi="宋体"/>
                <w:bCs/>
                <w:kern w:val="0"/>
                <w:sz w:val="21"/>
                <w:szCs w:val="21"/>
                <w:shd w:val="clear" w:color="auto" w:fill="FFFFFF"/>
              </w:rPr>
              <w:t>课程目标</w:t>
            </w:r>
            <w:r>
              <w:rPr>
                <w:bCs/>
                <w:kern w:val="0"/>
                <w:sz w:val="21"/>
                <w:szCs w:val="21"/>
                <w:shd w:val="clear" w:color="auto" w:fill="FFFFFF"/>
              </w:rPr>
              <w:t>2</w:t>
            </w:r>
          </w:p>
        </w:tc>
        <w:tc>
          <w:tcPr>
            <w:tcW w:w="1134" w:type="dxa"/>
            <w:vAlign w:val="center"/>
          </w:tcPr>
          <w:p>
            <w:pPr>
              <w:rPr>
                <w:rFonts w:ascii="宋体" w:hAnsi="宋体"/>
              </w:rPr>
            </w:pPr>
            <w:r>
              <w:rPr>
                <w:rFonts w:hint="eastAsia" w:ascii="宋体" w:hAnsi="宋体" w:cs="宋体"/>
              </w:rPr>
              <w:t>掌握常用盘类零件的数控加工工艺以及数控铣床加工的</w:t>
            </w:r>
            <w:r>
              <w:rPr>
                <w:rFonts w:hint="eastAsia" w:ascii="宋体" w:hAnsi="宋体"/>
                <w:lang w:eastAsia="zh-CN"/>
              </w:rPr>
              <w:t>技术要领</w:t>
            </w:r>
            <w:r>
              <w:rPr>
                <w:rFonts w:hint="eastAsia" w:ascii="宋体" w:hAnsi="宋体" w:cs="宋体"/>
              </w:rPr>
              <w:t>和编程方法。</w:t>
            </w:r>
          </w:p>
        </w:tc>
        <w:tc>
          <w:tcPr>
            <w:tcW w:w="992" w:type="dxa"/>
          </w:tcPr>
          <w:p>
            <w:pPr>
              <w:rPr>
                <w:rFonts w:ascii="宋体" w:hAnsi="宋体"/>
              </w:rPr>
            </w:pPr>
            <w:r>
              <w:rPr>
                <w:rFonts w:hint="eastAsia" w:ascii="宋体" w:hAnsi="宋体"/>
              </w:rPr>
              <w:t>知识及概念掌握全面，运用得当；解题过程正确、完整，逻辑性强，答案正确率超过90%，书写清晰。</w:t>
            </w:r>
          </w:p>
        </w:tc>
        <w:tc>
          <w:tcPr>
            <w:tcW w:w="1134" w:type="dxa"/>
          </w:tcPr>
          <w:p>
            <w:pPr>
              <w:rPr>
                <w:rFonts w:ascii="宋体" w:hAnsi="宋体"/>
              </w:rPr>
            </w:pPr>
            <w:r>
              <w:rPr>
                <w:rFonts w:hint="eastAsia" w:ascii="宋体" w:hAnsi="宋体"/>
              </w:rPr>
              <w:t>知识及概念掌握较全面，能够运用；解题过程基本正确、完整，答案正确率超过7</w:t>
            </w:r>
            <w:r>
              <w:rPr>
                <w:rFonts w:ascii="宋体" w:hAnsi="宋体"/>
              </w:rPr>
              <w:t>5</w:t>
            </w:r>
            <w:r>
              <w:rPr>
                <w:rFonts w:hint="eastAsia" w:ascii="宋体" w:hAnsi="宋体"/>
              </w:rPr>
              <w:t>%。</w:t>
            </w:r>
          </w:p>
        </w:tc>
        <w:tc>
          <w:tcPr>
            <w:tcW w:w="1276" w:type="dxa"/>
          </w:tcPr>
          <w:p>
            <w:pPr>
              <w:rPr>
                <w:rFonts w:ascii="宋体" w:hAnsi="宋体"/>
              </w:rPr>
            </w:pPr>
            <w:r>
              <w:rPr>
                <w:rFonts w:hint="eastAsia" w:ascii="宋体" w:hAnsi="宋体"/>
              </w:rPr>
              <w:t>知识及概念掌握程度一般，不能正确运用；解题过程中存在错误，答案正确率超过60%。</w:t>
            </w:r>
          </w:p>
        </w:tc>
        <w:tc>
          <w:tcPr>
            <w:tcW w:w="1137" w:type="dxa"/>
          </w:tcPr>
          <w:p>
            <w:pPr>
              <w:rPr>
                <w:rFonts w:ascii="宋体" w:hAnsi="宋体"/>
              </w:rPr>
            </w:pPr>
            <w:r>
              <w:rPr>
                <w:rFonts w:hint="eastAsia" w:ascii="宋体" w:hAnsi="宋体"/>
              </w:rPr>
              <w:t>没有掌握知识及概念，不会运用基本原理及方法；解题过程错误且不完整，答案正确率低于60%。</w:t>
            </w:r>
          </w:p>
          <w:p>
            <w:pPr>
              <w:adjustRightInd w:val="0"/>
              <w:snapToGrid w:val="0"/>
              <w:rPr>
                <w:rFonts w:ascii="宋体" w:hAnsi="宋体"/>
                <w:szCs w:val="21"/>
                <w:shd w:val="clear" w:color="auto" w:fill="FFFFFF"/>
              </w:rPr>
            </w:pPr>
          </w:p>
        </w:tc>
        <w:tc>
          <w:tcPr>
            <w:tcW w:w="706" w:type="dxa"/>
            <w:vAlign w:val="center"/>
          </w:tcPr>
          <w:p>
            <w:pPr>
              <w:adjustRightInd w:val="0"/>
              <w:snapToGrid w:val="0"/>
              <w:jc w:val="center"/>
              <w:rPr>
                <w:rFonts w:ascii="宋体" w:hAnsi="宋体"/>
                <w:szCs w:val="21"/>
                <w:shd w:val="clear" w:color="auto" w:fill="FFFFFF"/>
              </w:rPr>
            </w:pPr>
            <w:r>
              <w:rPr>
                <w:rFonts w:hint="eastAsia"/>
                <w:kern w:val="0"/>
                <w:sz w:val="21"/>
                <w:szCs w:val="21"/>
                <w:shd w:val="clear" w:color="auto" w:fill="FFFFFF"/>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djustRightInd w:val="0"/>
              <w:snapToGrid w:val="0"/>
              <w:jc w:val="center"/>
              <w:rPr>
                <w:rFonts w:hint="eastAsia" w:hAnsi="宋体"/>
                <w:b/>
                <w:kern w:val="0"/>
                <w:sz w:val="21"/>
                <w:szCs w:val="21"/>
                <w:lang w:eastAsia="zh-CN"/>
              </w:rPr>
            </w:pPr>
            <w:r>
              <w:rPr>
                <w:rFonts w:hint="eastAsia" w:hAnsi="宋体"/>
                <w:b/>
                <w:kern w:val="0"/>
                <w:sz w:val="21"/>
                <w:szCs w:val="21"/>
                <w:lang w:eastAsia="zh-CN"/>
              </w:rPr>
              <w:t>实习报告</w:t>
            </w:r>
            <w:r>
              <w:rPr>
                <w:rFonts w:hint="eastAsia" w:hAnsi="宋体"/>
                <w:b/>
                <w:kern w:val="0"/>
                <w:sz w:val="21"/>
                <w:szCs w:val="21"/>
                <w:lang w:val="en-US" w:eastAsia="zh-CN"/>
              </w:rPr>
              <w:t>3</w:t>
            </w:r>
          </w:p>
        </w:tc>
        <w:tc>
          <w:tcPr>
            <w:tcW w:w="992" w:type="dxa"/>
            <w:vAlign w:val="top"/>
          </w:tcPr>
          <w:p>
            <w:pPr>
              <w:adjustRightInd w:val="0"/>
              <w:snapToGrid w:val="0"/>
              <w:rPr>
                <w:rFonts w:hint="eastAsia"/>
                <w:bCs/>
                <w:kern w:val="0"/>
                <w:sz w:val="21"/>
                <w:szCs w:val="21"/>
                <w:shd w:val="clear" w:color="auto" w:fill="FFFFFF"/>
                <w:lang w:eastAsia="zh-CN"/>
              </w:rPr>
            </w:pPr>
            <w:r>
              <w:rPr>
                <w:rFonts w:hAnsi="宋体"/>
                <w:bCs/>
                <w:kern w:val="0"/>
                <w:sz w:val="21"/>
                <w:szCs w:val="21"/>
                <w:shd w:val="clear" w:color="auto" w:fill="FFFFFF"/>
              </w:rPr>
              <w:t>课程目标</w:t>
            </w:r>
            <w:r>
              <w:rPr>
                <w:rFonts w:hint="eastAsia"/>
                <w:bCs/>
                <w:kern w:val="0"/>
                <w:sz w:val="21"/>
                <w:szCs w:val="21"/>
                <w:shd w:val="clear" w:color="auto" w:fill="FFFFFF"/>
                <w:lang w:val="en-US" w:eastAsia="zh-CN"/>
              </w:rPr>
              <w:t>1</w:t>
            </w:r>
          </w:p>
          <w:p>
            <w:pPr>
              <w:adjustRightInd w:val="0"/>
              <w:snapToGrid w:val="0"/>
              <w:rPr>
                <w:rFonts w:hAnsi="宋体"/>
                <w:bCs/>
                <w:kern w:val="0"/>
                <w:sz w:val="21"/>
                <w:szCs w:val="21"/>
                <w:shd w:val="clear" w:color="auto" w:fill="FFFFFF"/>
              </w:rPr>
            </w:pPr>
            <w:r>
              <w:rPr>
                <w:rFonts w:hAnsi="宋体"/>
                <w:bCs/>
                <w:kern w:val="0"/>
                <w:sz w:val="21"/>
                <w:szCs w:val="21"/>
                <w:shd w:val="clear" w:color="auto" w:fill="FFFFFF"/>
              </w:rPr>
              <w:t>课程目标</w:t>
            </w:r>
            <w:r>
              <w:rPr>
                <w:bCs/>
                <w:kern w:val="0"/>
                <w:sz w:val="21"/>
                <w:szCs w:val="21"/>
                <w:shd w:val="clear" w:color="auto" w:fill="FFFFFF"/>
              </w:rPr>
              <w:t>2</w:t>
            </w:r>
          </w:p>
        </w:tc>
        <w:tc>
          <w:tcPr>
            <w:tcW w:w="1134" w:type="dxa"/>
            <w:vAlign w:val="center"/>
          </w:tcPr>
          <w:p>
            <w:pPr>
              <w:rPr>
                <w:rFonts w:hint="eastAsia" w:ascii="宋体" w:hAnsi="宋体" w:cs="宋体"/>
              </w:rPr>
            </w:pPr>
            <w:r>
              <w:rPr>
                <w:rFonts w:hint="eastAsia" w:hAnsi="宋体"/>
                <w:kern w:val="0"/>
                <w:sz w:val="21"/>
                <w:szCs w:val="21"/>
                <w:lang w:eastAsia="zh-CN"/>
              </w:rPr>
              <w:t>实习体会密切联系实际，对实践中涉及的问题能做出深入全面的探讨。实习体会文笔流畅、层次分明、构架严谨、言之有据。</w:t>
            </w:r>
          </w:p>
        </w:tc>
        <w:tc>
          <w:tcPr>
            <w:tcW w:w="992" w:type="dxa"/>
            <w:vAlign w:val="top"/>
          </w:tcPr>
          <w:p>
            <w:pPr>
              <w:rPr>
                <w:rFonts w:hint="eastAsia" w:ascii="宋体" w:hAnsi="宋体"/>
              </w:rPr>
            </w:pPr>
            <w:r>
              <w:rPr>
                <w:rFonts w:hint="eastAsia" w:hAnsi="宋体"/>
                <w:kern w:val="0"/>
                <w:sz w:val="21"/>
                <w:szCs w:val="21"/>
                <w:lang w:eastAsia="zh-CN"/>
              </w:rPr>
              <w:t>实习体会密切联系实际，对实践中涉及的问题能做出深入全面的探讨。实习体会文笔流畅、层次分明、构架严谨、言之有据。</w:t>
            </w:r>
          </w:p>
        </w:tc>
        <w:tc>
          <w:tcPr>
            <w:tcW w:w="1134" w:type="dxa"/>
            <w:vAlign w:val="top"/>
          </w:tcPr>
          <w:p>
            <w:pPr>
              <w:rPr>
                <w:rFonts w:hint="eastAsia" w:ascii="宋体" w:hAnsi="宋体"/>
              </w:rPr>
            </w:pPr>
            <w:r>
              <w:rPr>
                <w:rFonts w:hint="eastAsia" w:hAnsi="宋体"/>
                <w:kern w:val="0"/>
                <w:sz w:val="21"/>
                <w:szCs w:val="21"/>
                <w:lang w:eastAsia="zh-CN"/>
              </w:rPr>
              <w:t>实习体会联系实际，根据所学知识对涉及的问题作出全面的阐述。实习体会文笔通顺、层次分明、构架合理、格式规范。</w:t>
            </w:r>
          </w:p>
        </w:tc>
        <w:tc>
          <w:tcPr>
            <w:tcW w:w="1276" w:type="dxa"/>
            <w:vAlign w:val="top"/>
          </w:tcPr>
          <w:p>
            <w:pPr>
              <w:rPr>
                <w:rFonts w:hint="eastAsia" w:ascii="宋体" w:hAnsi="宋体"/>
              </w:rPr>
            </w:pPr>
            <w:r>
              <w:rPr>
                <w:rFonts w:hint="eastAsia" w:hAnsi="宋体"/>
                <w:kern w:val="0"/>
                <w:sz w:val="21"/>
                <w:szCs w:val="21"/>
                <w:lang w:eastAsia="zh-CN"/>
              </w:rPr>
              <w:t>实习体会基本联系实际，对涉及的问题通过分析做出结论。实习体会层次分明、构架合理、格式规范。</w:t>
            </w:r>
          </w:p>
        </w:tc>
        <w:tc>
          <w:tcPr>
            <w:tcW w:w="1137" w:type="dxa"/>
            <w:vAlign w:val="top"/>
          </w:tcPr>
          <w:p>
            <w:pPr>
              <w:adjustRightInd w:val="0"/>
              <w:snapToGrid w:val="0"/>
              <w:rPr>
                <w:rFonts w:ascii="宋体" w:hAnsi="宋体"/>
                <w:szCs w:val="21"/>
                <w:shd w:val="clear" w:color="auto" w:fill="FFFFFF"/>
              </w:rPr>
            </w:pPr>
            <w:r>
              <w:rPr>
                <w:rFonts w:hint="eastAsia" w:hAnsi="宋体"/>
                <w:kern w:val="0"/>
                <w:sz w:val="21"/>
                <w:szCs w:val="21"/>
                <w:lang w:eastAsia="zh-CN"/>
              </w:rPr>
              <w:t>实习体会联系实际较少，但能在实践指导教师的引导下独立完成总结。实习体会格式基本规范，分析无大错。</w:t>
            </w:r>
          </w:p>
        </w:tc>
        <w:tc>
          <w:tcPr>
            <w:tcW w:w="706" w:type="dxa"/>
            <w:vAlign w:val="center"/>
          </w:tcPr>
          <w:p>
            <w:pPr>
              <w:adjustRightInd w:val="0"/>
              <w:snapToGrid w:val="0"/>
              <w:jc w:val="center"/>
              <w:rPr>
                <w:rFonts w:hint="eastAsia" w:ascii="宋体" w:hAnsi="宋体" w:eastAsia="宋体"/>
                <w:szCs w:val="21"/>
                <w:shd w:val="clear" w:color="auto" w:fill="FFFFFF"/>
                <w:lang w:val="en-US" w:eastAsia="zh-CN"/>
              </w:rPr>
            </w:pPr>
            <w:r>
              <w:rPr>
                <w:rFonts w:hint="eastAsia"/>
                <w:kern w:val="0"/>
                <w:sz w:val="21"/>
                <w:szCs w:val="21"/>
                <w:shd w:val="clear" w:color="auto" w:fill="FFFFFF"/>
                <w:lang w:val="en-US" w:eastAsia="zh-CN"/>
              </w:rPr>
              <w:t>1/5</w:t>
            </w:r>
          </w:p>
        </w:tc>
      </w:tr>
    </w:tbl>
    <w:p>
      <w:pPr>
        <w:widowControl/>
        <w:jc w:val="left"/>
        <w:rPr>
          <w:rFonts w:ascii="Times New Roman" w:hAnsi="Times New Roman"/>
          <w:szCs w:val="21"/>
        </w:rPr>
      </w:pPr>
    </w:p>
    <w:sectPr>
      <w:footerReference r:id="rId3"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4316"/>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YjA4MGIzMzk4OTFkNTQxMTM3OWY4NTcyNjMxNDIifQ=="/>
  </w:docVars>
  <w:rsids>
    <w:rsidRoot w:val="00813E84"/>
    <w:rsid w:val="0000074A"/>
    <w:rsid w:val="000012CA"/>
    <w:rsid w:val="00003995"/>
    <w:rsid w:val="000039A2"/>
    <w:rsid w:val="00003F08"/>
    <w:rsid w:val="00006830"/>
    <w:rsid w:val="0001036A"/>
    <w:rsid w:val="00015800"/>
    <w:rsid w:val="00023A02"/>
    <w:rsid w:val="00024FCF"/>
    <w:rsid w:val="000269D0"/>
    <w:rsid w:val="0005019C"/>
    <w:rsid w:val="00054AC5"/>
    <w:rsid w:val="00055BDF"/>
    <w:rsid w:val="000618DF"/>
    <w:rsid w:val="000618F1"/>
    <w:rsid w:val="00063ACE"/>
    <w:rsid w:val="0006676E"/>
    <w:rsid w:val="00066BDC"/>
    <w:rsid w:val="00071608"/>
    <w:rsid w:val="000741A1"/>
    <w:rsid w:val="00074F62"/>
    <w:rsid w:val="00075418"/>
    <w:rsid w:val="00076E65"/>
    <w:rsid w:val="000802A8"/>
    <w:rsid w:val="0008298D"/>
    <w:rsid w:val="0009460B"/>
    <w:rsid w:val="000A1D84"/>
    <w:rsid w:val="000B453D"/>
    <w:rsid w:val="000B54B0"/>
    <w:rsid w:val="000B6484"/>
    <w:rsid w:val="000B7C4B"/>
    <w:rsid w:val="000C34C1"/>
    <w:rsid w:val="000C5ED7"/>
    <w:rsid w:val="000C697D"/>
    <w:rsid w:val="000D4E8B"/>
    <w:rsid w:val="000D6758"/>
    <w:rsid w:val="000E0AA2"/>
    <w:rsid w:val="000E18C4"/>
    <w:rsid w:val="000E4F8C"/>
    <w:rsid w:val="000F2579"/>
    <w:rsid w:val="00100CBF"/>
    <w:rsid w:val="00105D78"/>
    <w:rsid w:val="00105DE9"/>
    <w:rsid w:val="00106126"/>
    <w:rsid w:val="001109CD"/>
    <w:rsid w:val="00116160"/>
    <w:rsid w:val="001179E0"/>
    <w:rsid w:val="00120438"/>
    <w:rsid w:val="00130601"/>
    <w:rsid w:val="001344F5"/>
    <w:rsid w:val="001375EF"/>
    <w:rsid w:val="001379A5"/>
    <w:rsid w:val="00150BF3"/>
    <w:rsid w:val="0015370C"/>
    <w:rsid w:val="001579FD"/>
    <w:rsid w:val="00164862"/>
    <w:rsid w:val="00165348"/>
    <w:rsid w:val="0017121D"/>
    <w:rsid w:val="00172E5C"/>
    <w:rsid w:val="00173CAC"/>
    <w:rsid w:val="00175707"/>
    <w:rsid w:val="00181A42"/>
    <w:rsid w:val="00181EB0"/>
    <w:rsid w:val="0018544D"/>
    <w:rsid w:val="00185FA1"/>
    <w:rsid w:val="00187243"/>
    <w:rsid w:val="001907AB"/>
    <w:rsid w:val="0019302E"/>
    <w:rsid w:val="00195079"/>
    <w:rsid w:val="00195AFB"/>
    <w:rsid w:val="001A1ACA"/>
    <w:rsid w:val="001A4547"/>
    <w:rsid w:val="001A49F7"/>
    <w:rsid w:val="001A4CB5"/>
    <w:rsid w:val="001A51AB"/>
    <w:rsid w:val="001B07C7"/>
    <w:rsid w:val="001B15D5"/>
    <w:rsid w:val="001C09AD"/>
    <w:rsid w:val="001C2437"/>
    <w:rsid w:val="001C6509"/>
    <w:rsid w:val="001C65C5"/>
    <w:rsid w:val="001D0615"/>
    <w:rsid w:val="001D0EB0"/>
    <w:rsid w:val="001D2730"/>
    <w:rsid w:val="001D2BF6"/>
    <w:rsid w:val="001D44A0"/>
    <w:rsid w:val="001D61B0"/>
    <w:rsid w:val="001D699F"/>
    <w:rsid w:val="001D7EF0"/>
    <w:rsid w:val="001E74A5"/>
    <w:rsid w:val="001E7E08"/>
    <w:rsid w:val="001F28BE"/>
    <w:rsid w:val="001F4E20"/>
    <w:rsid w:val="001F5895"/>
    <w:rsid w:val="001F5945"/>
    <w:rsid w:val="001F6E19"/>
    <w:rsid w:val="002004F0"/>
    <w:rsid w:val="00200D9E"/>
    <w:rsid w:val="002048DF"/>
    <w:rsid w:val="00207CD3"/>
    <w:rsid w:val="0021189A"/>
    <w:rsid w:val="00213DDF"/>
    <w:rsid w:val="002154B7"/>
    <w:rsid w:val="00216C4A"/>
    <w:rsid w:val="00217401"/>
    <w:rsid w:val="00217AAF"/>
    <w:rsid w:val="00217DEB"/>
    <w:rsid w:val="00222C18"/>
    <w:rsid w:val="00223A1C"/>
    <w:rsid w:val="002322E7"/>
    <w:rsid w:val="00241A07"/>
    <w:rsid w:val="00244CA6"/>
    <w:rsid w:val="0024625C"/>
    <w:rsid w:val="00246CF4"/>
    <w:rsid w:val="00251CDA"/>
    <w:rsid w:val="00261C8E"/>
    <w:rsid w:val="00267C8D"/>
    <w:rsid w:val="00271DA2"/>
    <w:rsid w:val="00272185"/>
    <w:rsid w:val="00272E5D"/>
    <w:rsid w:val="0027334B"/>
    <w:rsid w:val="0028273C"/>
    <w:rsid w:val="00283333"/>
    <w:rsid w:val="00285268"/>
    <w:rsid w:val="00287224"/>
    <w:rsid w:val="002872BD"/>
    <w:rsid w:val="00292F67"/>
    <w:rsid w:val="00294CBB"/>
    <w:rsid w:val="002974A9"/>
    <w:rsid w:val="002A04B1"/>
    <w:rsid w:val="002A621F"/>
    <w:rsid w:val="002B1AE2"/>
    <w:rsid w:val="002B3CBF"/>
    <w:rsid w:val="002B58A5"/>
    <w:rsid w:val="002C0FAF"/>
    <w:rsid w:val="002C3FB8"/>
    <w:rsid w:val="002C5E6B"/>
    <w:rsid w:val="002C7F99"/>
    <w:rsid w:val="002D0730"/>
    <w:rsid w:val="002D31EB"/>
    <w:rsid w:val="002D476F"/>
    <w:rsid w:val="002D4870"/>
    <w:rsid w:val="002E11AD"/>
    <w:rsid w:val="002E7424"/>
    <w:rsid w:val="002F12E3"/>
    <w:rsid w:val="002F23C7"/>
    <w:rsid w:val="002F3C40"/>
    <w:rsid w:val="002F4DE6"/>
    <w:rsid w:val="003009EF"/>
    <w:rsid w:val="0030217F"/>
    <w:rsid w:val="003047BE"/>
    <w:rsid w:val="003077EF"/>
    <w:rsid w:val="00307F3A"/>
    <w:rsid w:val="00312067"/>
    <w:rsid w:val="00313036"/>
    <w:rsid w:val="00315075"/>
    <w:rsid w:val="003150E7"/>
    <w:rsid w:val="00323FC8"/>
    <w:rsid w:val="00324CAD"/>
    <w:rsid w:val="00341532"/>
    <w:rsid w:val="00346A79"/>
    <w:rsid w:val="00357814"/>
    <w:rsid w:val="00360979"/>
    <w:rsid w:val="00362E7A"/>
    <w:rsid w:val="00370DE2"/>
    <w:rsid w:val="0037201E"/>
    <w:rsid w:val="00373AFA"/>
    <w:rsid w:val="003743C0"/>
    <w:rsid w:val="00381016"/>
    <w:rsid w:val="0038348C"/>
    <w:rsid w:val="00383F10"/>
    <w:rsid w:val="003940FA"/>
    <w:rsid w:val="003A23E3"/>
    <w:rsid w:val="003A2DE2"/>
    <w:rsid w:val="003A4736"/>
    <w:rsid w:val="003A658B"/>
    <w:rsid w:val="003C059A"/>
    <w:rsid w:val="003C4366"/>
    <w:rsid w:val="003C494B"/>
    <w:rsid w:val="003C5918"/>
    <w:rsid w:val="003D7463"/>
    <w:rsid w:val="003E4E23"/>
    <w:rsid w:val="003E54F6"/>
    <w:rsid w:val="003E5F8E"/>
    <w:rsid w:val="003E61F9"/>
    <w:rsid w:val="003F479F"/>
    <w:rsid w:val="003F5DDA"/>
    <w:rsid w:val="00403449"/>
    <w:rsid w:val="00403720"/>
    <w:rsid w:val="00414D0A"/>
    <w:rsid w:val="00414FCD"/>
    <w:rsid w:val="004150A3"/>
    <w:rsid w:val="00416C69"/>
    <w:rsid w:val="00416D1C"/>
    <w:rsid w:val="00421345"/>
    <w:rsid w:val="00421DF2"/>
    <w:rsid w:val="00426CCA"/>
    <w:rsid w:val="004302CD"/>
    <w:rsid w:val="0043037F"/>
    <w:rsid w:val="00430E43"/>
    <w:rsid w:val="00430F32"/>
    <w:rsid w:val="0043277F"/>
    <w:rsid w:val="004339C2"/>
    <w:rsid w:val="00434BD9"/>
    <w:rsid w:val="00435A3D"/>
    <w:rsid w:val="00436814"/>
    <w:rsid w:val="00437CA5"/>
    <w:rsid w:val="004414B5"/>
    <w:rsid w:val="00445ABB"/>
    <w:rsid w:val="00446040"/>
    <w:rsid w:val="00446AE5"/>
    <w:rsid w:val="00446B91"/>
    <w:rsid w:val="00447408"/>
    <w:rsid w:val="00452533"/>
    <w:rsid w:val="00452F81"/>
    <w:rsid w:val="00454D9C"/>
    <w:rsid w:val="00461411"/>
    <w:rsid w:val="00461944"/>
    <w:rsid w:val="00463A73"/>
    <w:rsid w:val="004728F6"/>
    <w:rsid w:val="00474C14"/>
    <w:rsid w:val="00474D09"/>
    <w:rsid w:val="004752CC"/>
    <w:rsid w:val="00480478"/>
    <w:rsid w:val="0048079D"/>
    <w:rsid w:val="00481B38"/>
    <w:rsid w:val="004838E2"/>
    <w:rsid w:val="00491344"/>
    <w:rsid w:val="00493D5B"/>
    <w:rsid w:val="00494C72"/>
    <w:rsid w:val="00496721"/>
    <w:rsid w:val="00497996"/>
    <w:rsid w:val="004A0094"/>
    <w:rsid w:val="004A307A"/>
    <w:rsid w:val="004A5570"/>
    <w:rsid w:val="004B076E"/>
    <w:rsid w:val="004B2B31"/>
    <w:rsid w:val="004B2E37"/>
    <w:rsid w:val="004B4687"/>
    <w:rsid w:val="004B67D6"/>
    <w:rsid w:val="004B6C7C"/>
    <w:rsid w:val="004B70F3"/>
    <w:rsid w:val="004B7E52"/>
    <w:rsid w:val="004D069C"/>
    <w:rsid w:val="004D0BC2"/>
    <w:rsid w:val="004D1998"/>
    <w:rsid w:val="004D1F36"/>
    <w:rsid w:val="004D535A"/>
    <w:rsid w:val="004D674E"/>
    <w:rsid w:val="004D7662"/>
    <w:rsid w:val="004E0A88"/>
    <w:rsid w:val="004E2AED"/>
    <w:rsid w:val="004E2CB2"/>
    <w:rsid w:val="004E5707"/>
    <w:rsid w:val="004E5800"/>
    <w:rsid w:val="004F0392"/>
    <w:rsid w:val="004F363F"/>
    <w:rsid w:val="004F4182"/>
    <w:rsid w:val="004F6E77"/>
    <w:rsid w:val="00507D95"/>
    <w:rsid w:val="00510756"/>
    <w:rsid w:val="005108DE"/>
    <w:rsid w:val="00511065"/>
    <w:rsid w:val="005123FF"/>
    <w:rsid w:val="00512F60"/>
    <w:rsid w:val="005168EB"/>
    <w:rsid w:val="00523ACE"/>
    <w:rsid w:val="00523B00"/>
    <w:rsid w:val="005242C0"/>
    <w:rsid w:val="00524D61"/>
    <w:rsid w:val="00531E8B"/>
    <w:rsid w:val="00532DDA"/>
    <w:rsid w:val="0054070A"/>
    <w:rsid w:val="00545A35"/>
    <w:rsid w:val="00551D50"/>
    <w:rsid w:val="00552329"/>
    <w:rsid w:val="005531DD"/>
    <w:rsid w:val="00553ACE"/>
    <w:rsid w:val="00553B9A"/>
    <w:rsid w:val="005608C0"/>
    <w:rsid w:val="00566812"/>
    <w:rsid w:val="00571FB7"/>
    <w:rsid w:val="00576E47"/>
    <w:rsid w:val="00580093"/>
    <w:rsid w:val="00583CE3"/>
    <w:rsid w:val="0059128C"/>
    <w:rsid w:val="00591994"/>
    <w:rsid w:val="00592F69"/>
    <w:rsid w:val="005939A6"/>
    <w:rsid w:val="0059474B"/>
    <w:rsid w:val="005A4291"/>
    <w:rsid w:val="005B20CD"/>
    <w:rsid w:val="005B6DF2"/>
    <w:rsid w:val="005B7F85"/>
    <w:rsid w:val="005C7029"/>
    <w:rsid w:val="005C7426"/>
    <w:rsid w:val="005C7E86"/>
    <w:rsid w:val="005D2000"/>
    <w:rsid w:val="005D30A5"/>
    <w:rsid w:val="005D5FC2"/>
    <w:rsid w:val="005D632B"/>
    <w:rsid w:val="005D66B2"/>
    <w:rsid w:val="005D72BB"/>
    <w:rsid w:val="005E0BBD"/>
    <w:rsid w:val="005F794A"/>
    <w:rsid w:val="00600176"/>
    <w:rsid w:val="00600AD6"/>
    <w:rsid w:val="00605954"/>
    <w:rsid w:val="00605A4E"/>
    <w:rsid w:val="00607ECA"/>
    <w:rsid w:val="006129AE"/>
    <w:rsid w:val="006218DD"/>
    <w:rsid w:val="00624EEB"/>
    <w:rsid w:val="00632671"/>
    <w:rsid w:val="006471B3"/>
    <w:rsid w:val="00651EAA"/>
    <w:rsid w:val="00664F85"/>
    <w:rsid w:val="00666E30"/>
    <w:rsid w:val="00667FE5"/>
    <w:rsid w:val="00673BB2"/>
    <w:rsid w:val="0069248C"/>
    <w:rsid w:val="00692AD9"/>
    <w:rsid w:val="006937E6"/>
    <w:rsid w:val="00694E96"/>
    <w:rsid w:val="00696CF5"/>
    <w:rsid w:val="00697947"/>
    <w:rsid w:val="006A22B6"/>
    <w:rsid w:val="006A3DC4"/>
    <w:rsid w:val="006A4BFE"/>
    <w:rsid w:val="006B2C88"/>
    <w:rsid w:val="006B5319"/>
    <w:rsid w:val="006C01A5"/>
    <w:rsid w:val="006C02EA"/>
    <w:rsid w:val="006C31C9"/>
    <w:rsid w:val="006C5833"/>
    <w:rsid w:val="006C78CC"/>
    <w:rsid w:val="006D0D88"/>
    <w:rsid w:val="006D1A88"/>
    <w:rsid w:val="006D2C97"/>
    <w:rsid w:val="006D3AC5"/>
    <w:rsid w:val="006E00DE"/>
    <w:rsid w:val="006E38A8"/>
    <w:rsid w:val="006E6936"/>
    <w:rsid w:val="006F26F9"/>
    <w:rsid w:val="006F5398"/>
    <w:rsid w:val="006F609E"/>
    <w:rsid w:val="006F641C"/>
    <w:rsid w:val="006F6548"/>
    <w:rsid w:val="00710664"/>
    <w:rsid w:val="00712E1D"/>
    <w:rsid w:val="00715333"/>
    <w:rsid w:val="00720A2D"/>
    <w:rsid w:val="00731E18"/>
    <w:rsid w:val="00732E16"/>
    <w:rsid w:val="00732E29"/>
    <w:rsid w:val="00733C16"/>
    <w:rsid w:val="00735E88"/>
    <w:rsid w:val="00737D70"/>
    <w:rsid w:val="00743CE9"/>
    <w:rsid w:val="00744BB5"/>
    <w:rsid w:val="007466BE"/>
    <w:rsid w:val="007553EC"/>
    <w:rsid w:val="007569B7"/>
    <w:rsid w:val="00757D06"/>
    <w:rsid w:val="00757E9D"/>
    <w:rsid w:val="00757F7E"/>
    <w:rsid w:val="00764713"/>
    <w:rsid w:val="00770693"/>
    <w:rsid w:val="00776985"/>
    <w:rsid w:val="00776B91"/>
    <w:rsid w:val="00783978"/>
    <w:rsid w:val="00783F3B"/>
    <w:rsid w:val="0078668D"/>
    <w:rsid w:val="00793941"/>
    <w:rsid w:val="00796A56"/>
    <w:rsid w:val="00797164"/>
    <w:rsid w:val="007A10DD"/>
    <w:rsid w:val="007A3202"/>
    <w:rsid w:val="007A58D0"/>
    <w:rsid w:val="007A7320"/>
    <w:rsid w:val="007A786B"/>
    <w:rsid w:val="007A7C40"/>
    <w:rsid w:val="007B2ABD"/>
    <w:rsid w:val="007B5EB4"/>
    <w:rsid w:val="007C07B4"/>
    <w:rsid w:val="007C200F"/>
    <w:rsid w:val="007D0DBA"/>
    <w:rsid w:val="007D4861"/>
    <w:rsid w:val="007D5428"/>
    <w:rsid w:val="007D590E"/>
    <w:rsid w:val="007E33B7"/>
    <w:rsid w:val="007E54D2"/>
    <w:rsid w:val="007E71C8"/>
    <w:rsid w:val="007F0BDB"/>
    <w:rsid w:val="007F1128"/>
    <w:rsid w:val="007F2A37"/>
    <w:rsid w:val="007F769A"/>
    <w:rsid w:val="007F7D7C"/>
    <w:rsid w:val="0080018C"/>
    <w:rsid w:val="00800711"/>
    <w:rsid w:val="0080099E"/>
    <w:rsid w:val="00801335"/>
    <w:rsid w:val="00801722"/>
    <w:rsid w:val="008034F2"/>
    <w:rsid w:val="0080601F"/>
    <w:rsid w:val="0080621C"/>
    <w:rsid w:val="00813E84"/>
    <w:rsid w:val="00814BA4"/>
    <w:rsid w:val="0082216F"/>
    <w:rsid w:val="008232B7"/>
    <w:rsid w:val="0082483D"/>
    <w:rsid w:val="00824DAF"/>
    <w:rsid w:val="008277DD"/>
    <w:rsid w:val="008278B0"/>
    <w:rsid w:val="0083191A"/>
    <w:rsid w:val="00832AC1"/>
    <w:rsid w:val="00833EA9"/>
    <w:rsid w:val="00835B24"/>
    <w:rsid w:val="008362FC"/>
    <w:rsid w:val="00843DE3"/>
    <w:rsid w:val="008452A7"/>
    <w:rsid w:val="008553C3"/>
    <w:rsid w:val="00863F10"/>
    <w:rsid w:val="00865721"/>
    <w:rsid w:val="008715A4"/>
    <w:rsid w:val="00872D35"/>
    <w:rsid w:val="00874048"/>
    <w:rsid w:val="00877E3A"/>
    <w:rsid w:val="008844E2"/>
    <w:rsid w:val="00891A64"/>
    <w:rsid w:val="00895494"/>
    <w:rsid w:val="00897942"/>
    <w:rsid w:val="008A0341"/>
    <w:rsid w:val="008A0889"/>
    <w:rsid w:val="008A4BFA"/>
    <w:rsid w:val="008A7CBB"/>
    <w:rsid w:val="008B0697"/>
    <w:rsid w:val="008B2149"/>
    <w:rsid w:val="008B6ACB"/>
    <w:rsid w:val="008B7511"/>
    <w:rsid w:val="008C1468"/>
    <w:rsid w:val="008C264A"/>
    <w:rsid w:val="008C2B37"/>
    <w:rsid w:val="008C5792"/>
    <w:rsid w:val="008C59D7"/>
    <w:rsid w:val="008C6207"/>
    <w:rsid w:val="008C71AB"/>
    <w:rsid w:val="008C753C"/>
    <w:rsid w:val="008D2BA2"/>
    <w:rsid w:val="008D6ECB"/>
    <w:rsid w:val="008E23F7"/>
    <w:rsid w:val="008E2993"/>
    <w:rsid w:val="008E33A5"/>
    <w:rsid w:val="008F6AB5"/>
    <w:rsid w:val="008F6AF7"/>
    <w:rsid w:val="008F731A"/>
    <w:rsid w:val="0090209F"/>
    <w:rsid w:val="00903214"/>
    <w:rsid w:val="009046DD"/>
    <w:rsid w:val="009078CB"/>
    <w:rsid w:val="009169C5"/>
    <w:rsid w:val="0091788B"/>
    <w:rsid w:val="00917E95"/>
    <w:rsid w:val="00921688"/>
    <w:rsid w:val="00922351"/>
    <w:rsid w:val="0092574A"/>
    <w:rsid w:val="0094355C"/>
    <w:rsid w:val="00943A08"/>
    <w:rsid w:val="009452AE"/>
    <w:rsid w:val="009461B3"/>
    <w:rsid w:val="0095061F"/>
    <w:rsid w:val="00952180"/>
    <w:rsid w:val="00960111"/>
    <w:rsid w:val="00967B97"/>
    <w:rsid w:val="009704C6"/>
    <w:rsid w:val="00973A94"/>
    <w:rsid w:val="009750A8"/>
    <w:rsid w:val="0099055D"/>
    <w:rsid w:val="00993334"/>
    <w:rsid w:val="009A290E"/>
    <w:rsid w:val="009A5B86"/>
    <w:rsid w:val="009B35E0"/>
    <w:rsid w:val="009B77AF"/>
    <w:rsid w:val="009C020A"/>
    <w:rsid w:val="009C08DC"/>
    <w:rsid w:val="009C7E29"/>
    <w:rsid w:val="009D0828"/>
    <w:rsid w:val="009D1614"/>
    <w:rsid w:val="009D21F2"/>
    <w:rsid w:val="009E34E3"/>
    <w:rsid w:val="009F0786"/>
    <w:rsid w:val="009F2A43"/>
    <w:rsid w:val="009F4514"/>
    <w:rsid w:val="009F6400"/>
    <w:rsid w:val="009F6F91"/>
    <w:rsid w:val="009F7624"/>
    <w:rsid w:val="00A01829"/>
    <w:rsid w:val="00A02CCF"/>
    <w:rsid w:val="00A051E8"/>
    <w:rsid w:val="00A0775E"/>
    <w:rsid w:val="00A16AD9"/>
    <w:rsid w:val="00A17BE6"/>
    <w:rsid w:val="00A257E4"/>
    <w:rsid w:val="00A30FC6"/>
    <w:rsid w:val="00A329EE"/>
    <w:rsid w:val="00A352D7"/>
    <w:rsid w:val="00A3643B"/>
    <w:rsid w:val="00A370D8"/>
    <w:rsid w:val="00A516EF"/>
    <w:rsid w:val="00A52E7A"/>
    <w:rsid w:val="00A558EB"/>
    <w:rsid w:val="00A613CF"/>
    <w:rsid w:val="00A61E27"/>
    <w:rsid w:val="00A65329"/>
    <w:rsid w:val="00A66B4A"/>
    <w:rsid w:val="00A6787A"/>
    <w:rsid w:val="00A679FB"/>
    <w:rsid w:val="00A70FAF"/>
    <w:rsid w:val="00A713DE"/>
    <w:rsid w:val="00A71B4D"/>
    <w:rsid w:val="00A74000"/>
    <w:rsid w:val="00A7706B"/>
    <w:rsid w:val="00A82D63"/>
    <w:rsid w:val="00A845FA"/>
    <w:rsid w:val="00A85818"/>
    <w:rsid w:val="00A902C3"/>
    <w:rsid w:val="00A90306"/>
    <w:rsid w:val="00A91381"/>
    <w:rsid w:val="00A962B5"/>
    <w:rsid w:val="00AA3987"/>
    <w:rsid w:val="00AA3F45"/>
    <w:rsid w:val="00AA5027"/>
    <w:rsid w:val="00AB288A"/>
    <w:rsid w:val="00AB3880"/>
    <w:rsid w:val="00AB5008"/>
    <w:rsid w:val="00AC312C"/>
    <w:rsid w:val="00AC5CC6"/>
    <w:rsid w:val="00AC75AE"/>
    <w:rsid w:val="00AC7F9E"/>
    <w:rsid w:val="00AD182F"/>
    <w:rsid w:val="00AD3E32"/>
    <w:rsid w:val="00AD6183"/>
    <w:rsid w:val="00AD79BC"/>
    <w:rsid w:val="00AE3099"/>
    <w:rsid w:val="00AE7C72"/>
    <w:rsid w:val="00AF04C1"/>
    <w:rsid w:val="00AF0D63"/>
    <w:rsid w:val="00B0011B"/>
    <w:rsid w:val="00B0072E"/>
    <w:rsid w:val="00B01486"/>
    <w:rsid w:val="00B01848"/>
    <w:rsid w:val="00B031F6"/>
    <w:rsid w:val="00B03636"/>
    <w:rsid w:val="00B105BF"/>
    <w:rsid w:val="00B10A87"/>
    <w:rsid w:val="00B10C69"/>
    <w:rsid w:val="00B110FA"/>
    <w:rsid w:val="00B11859"/>
    <w:rsid w:val="00B13EB8"/>
    <w:rsid w:val="00B14A58"/>
    <w:rsid w:val="00B167DD"/>
    <w:rsid w:val="00B1782A"/>
    <w:rsid w:val="00B17FFE"/>
    <w:rsid w:val="00B208A2"/>
    <w:rsid w:val="00B261E0"/>
    <w:rsid w:val="00B33149"/>
    <w:rsid w:val="00B346FB"/>
    <w:rsid w:val="00B34E7F"/>
    <w:rsid w:val="00B36C27"/>
    <w:rsid w:val="00B40B8A"/>
    <w:rsid w:val="00B43C38"/>
    <w:rsid w:val="00B4671C"/>
    <w:rsid w:val="00B51B37"/>
    <w:rsid w:val="00B51BA6"/>
    <w:rsid w:val="00B53F93"/>
    <w:rsid w:val="00B55E93"/>
    <w:rsid w:val="00B621E5"/>
    <w:rsid w:val="00B64174"/>
    <w:rsid w:val="00B65CDD"/>
    <w:rsid w:val="00B73B80"/>
    <w:rsid w:val="00B76214"/>
    <w:rsid w:val="00B86624"/>
    <w:rsid w:val="00B870D6"/>
    <w:rsid w:val="00B90230"/>
    <w:rsid w:val="00B9277D"/>
    <w:rsid w:val="00B92E38"/>
    <w:rsid w:val="00B93260"/>
    <w:rsid w:val="00B9376F"/>
    <w:rsid w:val="00B958D9"/>
    <w:rsid w:val="00BA4D4E"/>
    <w:rsid w:val="00BB45AE"/>
    <w:rsid w:val="00BB48A2"/>
    <w:rsid w:val="00BB7527"/>
    <w:rsid w:val="00BC0001"/>
    <w:rsid w:val="00BC6BD8"/>
    <w:rsid w:val="00BC6E41"/>
    <w:rsid w:val="00BC7FDB"/>
    <w:rsid w:val="00BD501C"/>
    <w:rsid w:val="00BD5802"/>
    <w:rsid w:val="00BD7FBA"/>
    <w:rsid w:val="00BE7136"/>
    <w:rsid w:val="00BF312B"/>
    <w:rsid w:val="00BF5651"/>
    <w:rsid w:val="00C00EC7"/>
    <w:rsid w:val="00C03BE7"/>
    <w:rsid w:val="00C03DFA"/>
    <w:rsid w:val="00C05AC8"/>
    <w:rsid w:val="00C1196E"/>
    <w:rsid w:val="00C130AC"/>
    <w:rsid w:val="00C17FCC"/>
    <w:rsid w:val="00C20363"/>
    <w:rsid w:val="00C2197C"/>
    <w:rsid w:val="00C230B0"/>
    <w:rsid w:val="00C240E8"/>
    <w:rsid w:val="00C31B39"/>
    <w:rsid w:val="00C31BAF"/>
    <w:rsid w:val="00C32885"/>
    <w:rsid w:val="00C3577D"/>
    <w:rsid w:val="00C35A3E"/>
    <w:rsid w:val="00C3680D"/>
    <w:rsid w:val="00C41681"/>
    <w:rsid w:val="00C426A0"/>
    <w:rsid w:val="00C46DC4"/>
    <w:rsid w:val="00C5137A"/>
    <w:rsid w:val="00C633CA"/>
    <w:rsid w:val="00C6567B"/>
    <w:rsid w:val="00C7212B"/>
    <w:rsid w:val="00C753F8"/>
    <w:rsid w:val="00C76FE6"/>
    <w:rsid w:val="00C778F2"/>
    <w:rsid w:val="00C8104A"/>
    <w:rsid w:val="00C8563B"/>
    <w:rsid w:val="00C85E75"/>
    <w:rsid w:val="00C8719C"/>
    <w:rsid w:val="00C9417C"/>
    <w:rsid w:val="00C95ACD"/>
    <w:rsid w:val="00CA1EAB"/>
    <w:rsid w:val="00CA647B"/>
    <w:rsid w:val="00CB1D21"/>
    <w:rsid w:val="00CB2BAE"/>
    <w:rsid w:val="00CB2F37"/>
    <w:rsid w:val="00CB4A84"/>
    <w:rsid w:val="00CC0359"/>
    <w:rsid w:val="00CC248B"/>
    <w:rsid w:val="00CC279B"/>
    <w:rsid w:val="00CC2C00"/>
    <w:rsid w:val="00CC3660"/>
    <w:rsid w:val="00CD37C8"/>
    <w:rsid w:val="00CE0028"/>
    <w:rsid w:val="00CE2498"/>
    <w:rsid w:val="00CE7C19"/>
    <w:rsid w:val="00CF0E84"/>
    <w:rsid w:val="00CF133A"/>
    <w:rsid w:val="00CF1D03"/>
    <w:rsid w:val="00CF5CFC"/>
    <w:rsid w:val="00CF78C9"/>
    <w:rsid w:val="00D02CB5"/>
    <w:rsid w:val="00D03B3A"/>
    <w:rsid w:val="00D03C89"/>
    <w:rsid w:val="00D045AE"/>
    <w:rsid w:val="00D11711"/>
    <w:rsid w:val="00D11F95"/>
    <w:rsid w:val="00D121D6"/>
    <w:rsid w:val="00D13C28"/>
    <w:rsid w:val="00D162B9"/>
    <w:rsid w:val="00D17253"/>
    <w:rsid w:val="00D37555"/>
    <w:rsid w:val="00D42008"/>
    <w:rsid w:val="00D43EA6"/>
    <w:rsid w:val="00D52EBD"/>
    <w:rsid w:val="00D53C20"/>
    <w:rsid w:val="00D60E77"/>
    <w:rsid w:val="00D61050"/>
    <w:rsid w:val="00D6173B"/>
    <w:rsid w:val="00D753D7"/>
    <w:rsid w:val="00D81488"/>
    <w:rsid w:val="00D84D5B"/>
    <w:rsid w:val="00D85C28"/>
    <w:rsid w:val="00D8728B"/>
    <w:rsid w:val="00D87352"/>
    <w:rsid w:val="00D87B04"/>
    <w:rsid w:val="00D93E7B"/>
    <w:rsid w:val="00D95737"/>
    <w:rsid w:val="00D96C37"/>
    <w:rsid w:val="00DA1165"/>
    <w:rsid w:val="00DA28C5"/>
    <w:rsid w:val="00DA4237"/>
    <w:rsid w:val="00DA6998"/>
    <w:rsid w:val="00DA70F0"/>
    <w:rsid w:val="00DB0B84"/>
    <w:rsid w:val="00DB0C32"/>
    <w:rsid w:val="00DB4679"/>
    <w:rsid w:val="00DB4FC9"/>
    <w:rsid w:val="00DB757A"/>
    <w:rsid w:val="00DC1A46"/>
    <w:rsid w:val="00DC2CDA"/>
    <w:rsid w:val="00DC3095"/>
    <w:rsid w:val="00DC4A5F"/>
    <w:rsid w:val="00DD2698"/>
    <w:rsid w:val="00DD27F9"/>
    <w:rsid w:val="00DD5EC4"/>
    <w:rsid w:val="00DE3A60"/>
    <w:rsid w:val="00DE682C"/>
    <w:rsid w:val="00DF0F55"/>
    <w:rsid w:val="00DF19DD"/>
    <w:rsid w:val="00DF70CC"/>
    <w:rsid w:val="00E05F17"/>
    <w:rsid w:val="00E10C29"/>
    <w:rsid w:val="00E1201F"/>
    <w:rsid w:val="00E12558"/>
    <w:rsid w:val="00E14C8B"/>
    <w:rsid w:val="00E16908"/>
    <w:rsid w:val="00E20624"/>
    <w:rsid w:val="00E21C2C"/>
    <w:rsid w:val="00E21EB2"/>
    <w:rsid w:val="00E226F6"/>
    <w:rsid w:val="00E23837"/>
    <w:rsid w:val="00E23AA4"/>
    <w:rsid w:val="00E24EF7"/>
    <w:rsid w:val="00E250EB"/>
    <w:rsid w:val="00E27D4D"/>
    <w:rsid w:val="00E3275E"/>
    <w:rsid w:val="00E355D7"/>
    <w:rsid w:val="00E36463"/>
    <w:rsid w:val="00E40676"/>
    <w:rsid w:val="00E41E26"/>
    <w:rsid w:val="00E47FBB"/>
    <w:rsid w:val="00E5098F"/>
    <w:rsid w:val="00E519DD"/>
    <w:rsid w:val="00E52D55"/>
    <w:rsid w:val="00E52DFF"/>
    <w:rsid w:val="00E61388"/>
    <w:rsid w:val="00E62EE3"/>
    <w:rsid w:val="00E66229"/>
    <w:rsid w:val="00E721D6"/>
    <w:rsid w:val="00E858A1"/>
    <w:rsid w:val="00E87353"/>
    <w:rsid w:val="00E919E8"/>
    <w:rsid w:val="00E92166"/>
    <w:rsid w:val="00E93811"/>
    <w:rsid w:val="00E94800"/>
    <w:rsid w:val="00E95F8B"/>
    <w:rsid w:val="00EA1612"/>
    <w:rsid w:val="00EA2B39"/>
    <w:rsid w:val="00EA3618"/>
    <w:rsid w:val="00EA59F2"/>
    <w:rsid w:val="00EA738F"/>
    <w:rsid w:val="00EB01D1"/>
    <w:rsid w:val="00EB1CC8"/>
    <w:rsid w:val="00EB2C14"/>
    <w:rsid w:val="00EB5CD4"/>
    <w:rsid w:val="00EB741B"/>
    <w:rsid w:val="00EB77D7"/>
    <w:rsid w:val="00EC6BB6"/>
    <w:rsid w:val="00ED3043"/>
    <w:rsid w:val="00ED5188"/>
    <w:rsid w:val="00ED51FF"/>
    <w:rsid w:val="00EE19F0"/>
    <w:rsid w:val="00EE1B3F"/>
    <w:rsid w:val="00EE1CFA"/>
    <w:rsid w:val="00EE203A"/>
    <w:rsid w:val="00EE35C5"/>
    <w:rsid w:val="00EE50DE"/>
    <w:rsid w:val="00EE69CC"/>
    <w:rsid w:val="00EF0AB2"/>
    <w:rsid w:val="00EF37EF"/>
    <w:rsid w:val="00EF3D92"/>
    <w:rsid w:val="00EF4BE2"/>
    <w:rsid w:val="00F04C0F"/>
    <w:rsid w:val="00F050FC"/>
    <w:rsid w:val="00F1095D"/>
    <w:rsid w:val="00F11BAA"/>
    <w:rsid w:val="00F157E9"/>
    <w:rsid w:val="00F158F9"/>
    <w:rsid w:val="00F1733E"/>
    <w:rsid w:val="00F20DBA"/>
    <w:rsid w:val="00F20FAF"/>
    <w:rsid w:val="00F22B75"/>
    <w:rsid w:val="00F2605A"/>
    <w:rsid w:val="00F327F2"/>
    <w:rsid w:val="00F34998"/>
    <w:rsid w:val="00F35865"/>
    <w:rsid w:val="00F36F05"/>
    <w:rsid w:val="00F37310"/>
    <w:rsid w:val="00F469E4"/>
    <w:rsid w:val="00F528FD"/>
    <w:rsid w:val="00F533F0"/>
    <w:rsid w:val="00F54CE7"/>
    <w:rsid w:val="00F56063"/>
    <w:rsid w:val="00F616C0"/>
    <w:rsid w:val="00F63D70"/>
    <w:rsid w:val="00F64E0B"/>
    <w:rsid w:val="00F66D88"/>
    <w:rsid w:val="00F70673"/>
    <w:rsid w:val="00F71318"/>
    <w:rsid w:val="00F7222C"/>
    <w:rsid w:val="00F7450E"/>
    <w:rsid w:val="00F80369"/>
    <w:rsid w:val="00F806BF"/>
    <w:rsid w:val="00F80C49"/>
    <w:rsid w:val="00F810F1"/>
    <w:rsid w:val="00F81A46"/>
    <w:rsid w:val="00F8705E"/>
    <w:rsid w:val="00FA20C8"/>
    <w:rsid w:val="00FA3C84"/>
    <w:rsid w:val="00FA421F"/>
    <w:rsid w:val="00FA4E6B"/>
    <w:rsid w:val="00FA526A"/>
    <w:rsid w:val="00FA6A39"/>
    <w:rsid w:val="00FB04E2"/>
    <w:rsid w:val="00FB0BD6"/>
    <w:rsid w:val="00FB2EBB"/>
    <w:rsid w:val="00FB657B"/>
    <w:rsid w:val="00FB7C13"/>
    <w:rsid w:val="00FC0515"/>
    <w:rsid w:val="00FC0EE0"/>
    <w:rsid w:val="00FC1234"/>
    <w:rsid w:val="00FC578B"/>
    <w:rsid w:val="00FD2FE8"/>
    <w:rsid w:val="00FD3B49"/>
    <w:rsid w:val="00FD3C3C"/>
    <w:rsid w:val="00FD410B"/>
    <w:rsid w:val="00FD5C0D"/>
    <w:rsid w:val="00FE06F5"/>
    <w:rsid w:val="00FE22E9"/>
    <w:rsid w:val="00FE31DA"/>
    <w:rsid w:val="00FE5357"/>
    <w:rsid w:val="00FF1539"/>
    <w:rsid w:val="00FF4903"/>
    <w:rsid w:val="011171AC"/>
    <w:rsid w:val="019D73AC"/>
    <w:rsid w:val="02646513"/>
    <w:rsid w:val="028465E6"/>
    <w:rsid w:val="03395687"/>
    <w:rsid w:val="036D225A"/>
    <w:rsid w:val="049A5E25"/>
    <w:rsid w:val="05674D05"/>
    <w:rsid w:val="0679128E"/>
    <w:rsid w:val="07A04271"/>
    <w:rsid w:val="07A24078"/>
    <w:rsid w:val="08394563"/>
    <w:rsid w:val="09DB1B67"/>
    <w:rsid w:val="0CAE1E14"/>
    <w:rsid w:val="0F056591"/>
    <w:rsid w:val="0F280473"/>
    <w:rsid w:val="0F5747F2"/>
    <w:rsid w:val="11885EA2"/>
    <w:rsid w:val="15D849FF"/>
    <w:rsid w:val="1899542E"/>
    <w:rsid w:val="189D54E4"/>
    <w:rsid w:val="189D6174"/>
    <w:rsid w:val="18B2189F"/>
    <w:rsid w:val="19153476"/>
    <w:rsid w:val="1C454EF8"/>
    <w:rsid w:val="1CD00B17"/>
    <w:rsid w:val="1E6257AE"/>
    <w:rsid w:val="1EE61F57"/>
    <w:rsid w:val="1FDF707F"/>
    <w:rsid w:val="23756307"/>
    <w:rsid w:val="23E26A49"/>
    <w:rsid w:val="242127AB"/>
    <w:rsid w:val="25545725"/>
    <w:rsid w:val="25E10351"/>
    <w:rsid w:val="281E5515"/>
    <w:rsid w:val="294066EC"/>
    <w:rsid w:val="2C481A7F"/>
    <w:rsid w:val="2C9B0C27"/>
    <w:rsid w:val="2FC318D4"/>
    <w:rsid w:val="35152803"/>
    <w:rsid w:val="355D645A"/>
    <w:rsid w:val="36021A24"/>
    <w:rsid w:val="3C1D339C"/>
    <w:rsid w:val="3C3F2833"/>
    <w:rsid w:val="3CCE7798"/>
    <w:rsid w:val="3D1758BA"/>
    <w:rsid w:val="3EC407D5"/>
    <w:rsid w:val="3F3E7B13"/>
    <w:rsid w:val="447137A5"/>
    <w:rsid w:val="46C5476A"/>
    <w:rsid w:val="49241632"/>
    <w:rsid w:val="49B76B78"/>
    <w:rsid w:val="49D62A28"/>
    <w:rsid w:val="4BC26544"/>
    <w:rsid w:val="4C4B5239"/>
    <w:rsid w:val="4E4E19EB"/>
    <w:rsid w:val="50366514"/>
    <w:rsid w:val="503F459C"/>
    <w:rsid w:val="52991937"/>
    <w:rsid w:val="534210A0"/>
    <w:rsid w:val="551E5C89"/>
    <w:rsid w:val="5621751F"/>
    <w:rsid w:val="585B0481"/>
    <w:rsid w:val="58A668ED"/>
    <w:rsid w:val="59BA02B0"/>
    <w:rsid w:val="5E680936"/>
    <w:rsid w:val="5EF650E5"/>
    <w:rsid w:val="5F213DF6"/>
    <w:rsid w:val="5FD87CB9"/>
    <w:rsid w:val="657A6506"/>
    <w:rsid w:val="6759307A"/>
    <w:rsid w:val="67D71322"/>
    <w:rsid w:val="694C1F68"/>
    <w:rsid w:val="6AB761DD"/>
    <w:rsid w:val="6AE820E8"/>
    <w:rsid w:val="6DC347C2"/>
    <w:rsid w:val="6F5E2068"/>
    <w:rsid w:val="6FC56C7F"/>
    <w:rsid w:val="700F6B9E"/>
    <w:rsid w:val="70651B61"/>
    <w:rsid w:val="70C0011C"/>
    <w:rsid w:val="724C4399"/>
    <w:rsid w:val="72E90032"/>
    <w:rsid w:val="73977D3D"/>
    <w:rsid w:val="73CE34C4"/>
    <w:rsid w:val="742A10F7"/>
    <w:rsid w:val="75495400"/>
    <w:rsid w:val="7877490D"/>
    <w:rsid w:val="79956E2A"/>
    <w:rsid w:val="7A343781"/>
    <w:rsid w:val="7A6903B5"/>
    <w:rsid w:val="7A6A47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framePr w:wrap="notBeside" w:vAnchor="text" w:hAnchor="text" w:y="1"/>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3"/>
    <w:semiHidden/>
    <w:unhideWhenUsed/>
    <w:qFormat/>
    <w:uiPriority w:val="99"/>
    <w:rPr>
      <w:b/>
      <w:bCs/>
    </w:rPr>
  </w:style>
  <w:style w:type="table" w:styleId="9">
    <w:name w:val="Table Grid"/>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rFonts w:ascii="Calibri" w:hAnsi="Calibri" w:eastAsia="宋体" w:cs="Times New Roman"/>
      <w:sz w:val="18"/>
      <w:szCs w:val="18"/>
    </w:rPr>
  </w:style>
  <w:style w:type="character" w:customStyle="1" w:styleId="15">
    <w:name w:val="页脚 字符"/>
    <w:basedOn w:val="10"/>
    <w:link w:val="4"/>
    <w:qFormat/>
    <w:uiPriority w:val="99"/>
    <w:rPr>
      <w:rFonts w:ascii="Calibri" w:hAnsi="Calibri" w:eastAsia="宋体" w:cs="Times New Roman"/>
      <w:sz w:val="18"/>
      <w:szCs w:val="18"/>
    </w:rPr>
  </w:style>
  <w:style w:type="character" w:customStyle="1" w:styleId="16">
    <w:name w:val="批注框文本 字符"/>
    <w:basedOn w:val="10"/>
    <w:link w:val="3"/>
    <w:semiHidden/>
    <w:qFormat/>
    <w:uiPriority w:val="99"/>
    <w:rPr>
      <w:rFonts w:ascii="Calibri" w:hAnsi="Calibri" w:eastAsia="宋体" w:cs="Times New Roman"/>
      <w:sz w:val="18"/>
      <w:szCs w:val="18"/>
    </w:rPr>
  </w:style>
  <w:style w:type="paragraph" w:customStyle="1" w:styleId="17">
    <w:name w:val="列出段落1"/>
    <w:basedOn w:val="1"/>
    <w:qFormat/>
    <w:uiPriority w:val="34"/>
    <w:pPr>
      <w:ind w:firstLine="420" w:firstLineChars="200"/>
    </w:pPr>
    <w:rPr>
      <w:rFonts w:asciiTheme="minorHAnsi" w:hAnsiTheme="minorHAnsi" w:eastAsiaTheme="minorEastAsia" w:cstheme="minorBidi"/>
    </w:rPr>
  </w:style>
  <w:style w:type="paragraph" w:customStyle="1" w:styleId="18">
    <w:name w:val="p0"/>
    <w:basedOn w:val="1"/>
    <w:qFormat/>
    <w:uiPriority w:val="0"/>
    <w:pPr>
      <w:widowControl/>
    </w:pPr>
    <w:rPr>
      <w:rFonts w:ascii="Times New Roman" w:hAnsi="Times New Roman"/>
      <w:kern w:val="0"/>
      <w:szCs w:val="21"/>
    </w:rPr>
  </w:style>
  <w:style w:type="character" w:customStyle="1" w:styleId="19">
    <w:name w:val="text1"/>
    <w:qFormat/>
    <w:uiPriority w:val="0"/>
    <w:rPr>
      <w:rFonts w:hint="default"/>
      <w:color w:val="000000"/>
      <w:sz w:val="18"/>
      <w:szCs w:val="18"/>
    </w:rPr>
  </w:style>
  <w:style w:type="character" w:customStyle="1" w:styleId="20">
    <w:name w:val="未处理的提及1"/>
    <w:basedOn w:val="10"/>
    <w:semiHidden/>
    <w:unhideWhenUsed/>
    <w:qFormat/>
    <w:uiPriority w:val="99"/>
    <w:rPr>
      <w:color w:val="605E5C"/>
      <w:shd w:val="clear" w:color="auto" w:fill="E1DFDD"/>
    </w:rPr>
  </w:style>
  <w:style w:type="paragraph" w:styleId="21">
    <w:name w:val="List Paragraph"/>
    <w:basedOn w:val="1"/>
    <w:qFormat/>
    <w:uiPriority w:val="99"/>
    <w:pPr>
      <w:ind w:firstLine="420" w:firstLineChars="200"/>
    </w:pPr>
  </w:style>
  <w:style w:type="character" w:customStyle="1" w:styleId="22">
    <w:name w:val="批注文字 字符"/>
    <w:basedOn w:val="10"/>
    <w:link w:val="2"/>
    <w:semiHidden/>
    <w:qFormat/>
    <w:uiPriority w:val="99"/>
    <w:rPr>
      <w:rFonts w:ascii="Calibri" w:hAnsi="Calibri" w:eastAsia="宋体" w:cs="Times New Roman"/>
      <w:kern w:val="2"/>
      <w:sz w:val="21"/>
      <w:szCs w:val="22"/>
    </w:rPr>
  </w:style>
  <w:style w:type="character" w:customStyle="1" w:styleId="23">
    <w:name w:val="批注主题 字符"/>
    <w:basedOn w:val="22"/>
    <w:link w:val="7"/>
    <w:semiHidden/>
    <w:qFormat/>
    <w:uiPriority w:val="99"/>
    <w:rPr>
      <w:rFonts w:ascii="Calibri" w:hAnsi="Calibri" w:eastAsia="宋体" w:cs="Times New Roman"/>
      <w:b/>
      <w:bCs/>
      <w:kern w:val="2"/>
      <w:sz w:val="21"/>
      <w:szCs w:val="22"/>
    </w:rPr>
  </w:style>
  <w:style w:type="paragraph" w:customStyle="1" w:styleId="2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9AE7-9C46-4641-99A4-3B29A0F8020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4327</Words>
  <Characters>4654</Characters>
  <Lines>14</Lines>
  <Paragraphs>3</Paragraphs>
  <TotalTime>1</TotalTime>
  <ScaleCrop>false</ScaleCrop>
  <LinksUpToDate>false</LinksUpToDate>
  <CharactersWithSpaces>4797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2022-09-18T09:03:00Z</dcterms:created>
  <dc:creator>Administrator</dc:creator>
  <cp:lastModifiedBy>阿布罗狄</cp:lastModifiedBy>
  <cp:lastPrinted>2018-05-30T08:40:00Z</cp:lastPrinted>
  <dcterms:modified xsi:type="dcterms:W3CDTF">2023-10-23T06:57:17Z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2052-12.1.0.15712</vt:lpwstr>
  </property>
  <property fmtid="{D5CDD505-2E9C-101B-9397-08002B2CF9AE}" pid="4" name="ICV">
    <vt:lpwstr>0311448EC630457C8CF988B1F87DBDED</vt:lpwstr>
  </property>
</Properties>
</file>